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082" w:rsidRDefault="00F70082" w:rsidP="005C14ED">
      <w:pPr>
        <w:ind w:firstLine="709"/>
        <w:jc w:val="center"/>
        <w:rPr>
          <w:b/>
          <w:bCs/>
        </w:rPr>
      </w:pPr>
    </w:p>
    <w:p w:rsidR="00360AE3" w:rsidRDefault="00360AE3" w:rsidP="005C14ED">
      <w:pPr>
        <w:ind w:firstLine="709"/>
        <w:jc w:val="center"/>
        <w:rPr>
          <w:b/>
          <w:bCs/>
        </w:rPr>
      </w:pPr>
      <w:r>
        <w:rPr>
          <w:b/>
          <w:bCs/>
        </w:rPr>
        <w:t>Анализ результатов ЕГЭ по химии в НАО в 2024 году.</w:t>
      </w:r>
    </w:p>
    <w:p w:rsidR="00360AE3" w:rsidRDefault="00360AE3" w:rsidP="005C14ED">
      <w:pPr>
        <w:ind w:firstLine="709"/>
        <w:jc w:val="center"/>
        <w:rPr>
          <w:b/>
          <w:bCs/>
        </w:rPr>
      </w:pPr>
    </w:p>
    <w:p w:rsidR="005C14ED" w:rsidRPr="005C14ED" w:rsidRDefault="005C14ED" w:rsidP="005C14ED">
      <w:pPr>
        <w:ind w:firstLine="709"/>
        <w:jc w:val="center"/>
        <w:rPr>
          <w:b/>
          <w:bCs/>
          <w:lang w:val="x-none"/>
        </w:rPr>
      </w:pPr>
      <w:r>
        <w:rPr>
          <w:b/>
          <w:bCs/>
        </w:rPr>
        <w:t>Х</w:t>
      </w:r>
      <w:r w:rsidRPr="005C14ED">
        <w:rPr>
          <w:b/>
          <w:bCs/>
        </w:rPr>
        <w:t>арактер</w:t>
      </w:r>
      <w:r>
        <w:rPr>
          <w:b/>
          <w:bCs/>
        </w:rPr>
        <w:t xml:space="preserve"> </w:t>
      </w:r>
      <w:r w:rsidRPr="005C14ED">
        <w:rPr>
          <w:b/>
          <w:bCs/>
        </w:rPr>
        <w:t>изменения количества участников ЕГЭ по учебному предмету</w:t>
      </w:r>
      <w:r>
        <w:rPr>
          <w:b/>
          <w:bCs/>
        </w:rPr>
        <w:t xml:space="preserve"> Химия</w:t>
      </w:r>
    </w:p>
    <w:p w:rsidR="005C14ED" w:rsidRPr="000173FE" w:rsidRDefault="005C14ED" w:rsidP="005C14ED">
      <w:pPr>
        <w:ind w:firstLine="709"/>
        <w:jc w:val="both"/>
        <w:rPr>
          <w:lang w:val="x-none"/>
        </w:rPr>
      </w:pPr>
      <w:r>
        <w:rPr>
          <w:lang w:val="x-none"/>
        </w:rPr>
        <w:t xml:space="preserve">В 2024 году ЕГЭ по химии сдавали 14,9% от общего количества участников государственной итоговой аттестации Ненецкого автономного округа, что значительно выше в сравнении с 2022 и 2023 годами (больше на 7,1 и 6,7% соответственно). </w:t>
      </w:r>
    </w:p>
    <w:p w:rsidR="005C14ED" w:rsidRDefault="005C14ED" w:rsidP="005C14ED">
      <w:pPr>
        <w:jc w:val="center"/>
      </w:pPr>
      <w:r>
        <w:rPr>
          <w:noProof/>
        </w:rPr>
        <w:drawing>
          <wp:inline distT="0" distB="0" distL="0" distR="0" wp14:anchorId="2505FC74" wp14:editId="71B2BD30">
            <wp:extent cx="5955665" cy="2811780"/>
            <wp:effectExtent l="0" t="0" r="6985" b="7620"/>
            <wp:docPr id="182490988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t xml:space="preserve">  </w:t>
      </w:r>
    </w:p>
    <w:p w:rsidR="005C14ED" w:rsidRDefault="005C14ED" w:rsidP="005C14ED">
      <w:pPr>
        <w:spacing w:line="276" w:lineRule="auto"/>
        <w:ind w:firstLine="709"/>
        <w:jc w:val="both"/>
      </w:pPr>
      <w:r>
        <w:t xml:space="preserve">Также из диаграммы 1 наглядно видно, что в 2024 году </w:t>
      </w:r>
      <w:r w:rsidRPr="00CA3CE7">
        <w:t>количеств</w:t>
      </w:r>
      <w:r>
        <w:t>о</w:t>
      </w:r>
      <w:r w:rsidRPr="00CA3CE7">
        <w:t xml:space="preserve"> учащихся</w:t>
      </w:r>
      <w:r>
        <w:t>, выбирающих предмет химию в качестве ЕГЭ для поступления в высшие учебные заведения значительно выше в сравнении с прошлыми годами.</w:t>
      </w:r>
    </w:p>
    <w:p w:rsidR="00FB2EC8" w:rsidRDefault="005C14ED" w:rsidP="005C14ED">
      <w:pPr>
        <w:spacing w:line="276" w:lineRule="auto"/>
        <w:ind w:firstLine="709"/>
        <w:jc w:val="both"/>
      </w:pPr>
      <w:r w:rsidRPr="00D65821">
        <w:t xml:space="preserve">Гендерный состав участников ЕГЭ по химии </w:t>
      </w:r>
      <w:r>
        <w:t>в разрезе лет не однородный</w:t>
      </w:r>
      <w:r w:rsidRPr="00D65821">
        <w:t xml:space="preserve">. </w:t>
      </w:r>
      <w:r>
        <w:t xml:space="preserve">Данные таблицы 2-2 свидетельствуют об увеличении доли юношей от общего числа участников, выбирающих химию в качестве экзамена по выбору, и в 2024 году количество юношей приближается к количеству девушек (44,8 и 55,2% соответственно). </w:t>
      </w:r>
    </w:p>
    <w:p w:rsidR="005C14ED" w:rsidRDefault="005C14ED" w:rsidP="005C14ED">
      <w:pPr>
        <w:spacing w:line="276" w:lineRule="auto"/>
        <w:ind w:firstLine="709"/>
        <w:jc w:val="both"/>
      </w:pPr>
      <w:r w:rsidRPr="0086261F">
        <w:t xml:space="preserve">Участниками экзамена являются выпускники текущего года (100%), обучающиеся по программам СОО базового и профильного направления. </w:t>
      </w:r>
    </w:p>
    <w:p w:rsidR="005C14ED" w:rsidRDefault="005C14ED" w:rsidP="005C14ED">
      <w:pPr>
        <w:spacing w:line="276" w:lineRule="auto"/>
        <w:ind w:firstLine="709"/>
        <w:jc w:val="both"/>
      </w:pPr>
      <w:r w:rsidRPr="0086261F">
        <w:t>Выявить какую-либо закономерность в изменении количества сдающих химию в разные годы сложно, так как наблюдается разнонаправленная динамика изменения числа участников ЕГЭ</w:t>
      </w:r>
      <w:r>
        <w:t>.</w:t>
      </w:r>
    </w:p>
    <w:p w:rsidR="005C14ED" w:rsidRDefault="005C14ED" w:rsidP="005C14ED">
      <w:pPr>
        <w:spacing w:line="276" w:lineRule="auto"/>
        <w:ind w:firstLine="709"/>
        <w:jc w:val="both"/>
      </w:pPr>
    </w:p>
    <w:p w:rsidR="005C14ED" w:rsidRPr="005C14ED" w:rsidRDefault="005C14ED" w:rsidP="005C14ED">
      <w:pPr>
        <w:spacing w:line="276" w:lineRule="auto"/>
        <w:ind w:firstLine="709"/>
        <w:jc w:val="center"/>
        <w:rPr>
          <w:b/>
          <w:bCs/>
        </w:rPr>
      </w:pPr>
      <w:r w:rsidRPr="005C14ED">
        <w:rPr>
          <w:b/>
          <w:bCs/>
        </w:rPr>
        <w:t>Характер изменения результатов ЕГЭ по предмету</w:t>
      </w:r>
    </w:p>
    <w:p w:rsidR="005C14ED" w:rsidRDefault="005C14ED" w:rsidP="005C14ED">
      <w:pPr>
        <w:spacing w:line="276" w:lineRule="auto"/>
        <w:ind w:firstLine="709"/>
        <w:jc w:val="both"/>
      </w:pPr>
      <w:r w:rsidRPr="005C14ED">
        <w:t>Результаты ЕГЭ по химии в 2024 году по сравнению с предыдущими периодами по некоторым показателям изменились несущественно. Средний тестовый балл по химии в Ненецком автономном округе достаточно стабилен, в 2024 году он равен 54, на 2 балла выше, чем по результатам 2022 и 2023 годов.</w:t>
      </w:r>
    </w:p>
    <w:p w:rsidR="00490A14" w:rsidRPr="005C14ED" w:rsidRDefault="00490A14" w:rsidP="00490A14">
      <w:pPr>
        <w:spacing w:line="276" w:lineRule="auto"/>
        <w:jc w:val="both"/>
      </w:pPr>
      <w:r>
        <w:rPr>
          <w:noProof/>
        </w:rPr>
        <w:lastRenderedPageBreak/>
        <w:drawing>
          <wp:inline distT="0" distB="0" distL="0" distR="0" wp14:anchorId="09DD3923" wp14:editId="06E5B9B4">
            <wp:extent cx="5940425" cy="2140602"/>
            <wp:effectExtent l="0" t="0" r="3175" b="12065"/>
            <wp:docPr id="40988980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C14ED" w:rsidRPr="005C14ED" w:rsidRDefault="005C14ED" w:rsidP="005C14ED">
      <w:pPr>
        <w:spacing w:line="276" w:lineRule="auto"/>
        <w:ind w:firstLine="709"/>
        <w:jc w:val="both"/>
      </w:pPr>
      <w:r w:rsidRPr="005C14ED">
        <w:t>Доля экзаменуемых, не преодолевших минимальный балл с 2022 г. по 2024г. немного снизилась (2022 г. – 30,00%, 2023 г. – 17,65%, 2024 г. – 17,24%). Это выпускники, которые не усвоили базовые знания по химии. Исходя из данных в разрезе лет</w:t>
      </w:r>
      <w:r w:rsidR="00F119DC">
        <w:t>,</w:t>
      </w:r>
      <w:r w:rsidRPr="005C14ED">
        <w:t xml:space="preserve"> можно сделать вывод, что наблюдается незначительное улучшение данного показателя.</w:t>
      </w:r>
    </w:p>
    <w:p w:rsidR="005C14ED" w:rsidRPr="005C14ED" w:rsidRDefault="005C14ED" w:rsidP="005C14ED">
      <w:pPr>
        <w:spacing w:line="276" w:lineRule="auto"/>
        <w:ind w:firstLine="709"/>
        <w:jc w:val="both"/>
      </w:pPr>
      <w:r w:rsidRPr="005C14ED">
        <w:t>Процент выпускников, получивших от минимального балла до 60, остается достаточно высоким (44,83%), но в сравнении с 2023 годом (47,06%) наблюдается небольшое снижение.</w:t>
      </w:r>
      <w:r w:rsidRPr="002A7A6F">
        <w:t xml:space="preserve"> </w:t>
      </w:r>
      <w:r w:rsidRPr="005C14ED">
        <w:t>Привести к такому результату сдачи экзамена может «неосознанность» при выборе экзамена.</w:t>
      </w:r>
    </w:p>
    <w:p w:rsidR="005C14ED" w:rsidRPr="005C14ED" w:rsidRDefault="005C14ED" w:rsidP="005C14ED">
      <w:pPr>
        <w:spacing w:line="276" w:lineRule="auto"/>
        <w:ind w:firstLine="709"/>
        <w:jc w:val="both"/>
      </w:pPr>
      <w:r w:rsidRPr="005C14ED">
        <w:t xml:space="preserve">Около трети участников ЕГЭ по химии (27,59%) продемонстрировали результативность от 61 до 80 баллов. Эта группа выпускников может быть представлена выпускниками, которые не определились с выбором профессии и недостаточно готовились к сдаче экзамена. Возможно, были и такие участники экзамена, кто поздно принял решение о сдаче ЕГЭ по химии и поздно начал готовиться. </w:t>
      </w:r>
    </w:p>
    <w:p w:rsidR="00490A14" w:rsidRDefault="005C14ED" w:rsidP="00490A14">
      <w:pPr>
        <w:spacing w:line="276" w:lineRule="auto"/>
        <w:ind w:firstLine="709"/>
        <w:jc w:val="both"/>
      </w:pPr>
      <w:r w:rsidRPr="005C14ED">
        <w:t>Количество участников экзамена с высоким уровнем подготовки по химии (81–100 баллов) в 2024 г. увеличилось практически в два раза (с 5,88 до 10,34%). Мотивированные выпускники, нацеленные на высокий результат, ответственно относятся к подготовке и решают все задания, включая задания высокого уровня сложности. Также это мо</w:t>
      </w:r>
      <w:r w:rsidR="00F119DC">
        <w:t>ж</w:t>
      </w:r>
      <w:r w:rsidRPr="005C14ED">
        <w:t>ет быть связано с тем, что в этом учебном году не произошло ощутимых изменений в КИМ ЕГЭ в сравнении с КИМ ЕГЭ прошлого года.</w:t>
      </w:r>
    </w:p>
    <w:p w:rsidR="00490A14" w:rsidRDefault="00490A14" w:rsidP="00490A14">
      <w:pPr>
        <w:spacing w:line="276" w:lineRule="auto"/>
        <w:ind w:firstLine="709"/>
        <w:jc w:val="both"/>
      </w:pPr>
    </w:p>
    <w:p w:rsidR="00490A14" w:rsidRPr="00490A14" w:rsidRDefault="00490A14" w:rsidP="00490A14">
      <w:pPr>
        <w:spacing w:line="276" w:lineRule="auto"/>
        <w:jc w:val="center"/>
        <w:rPr>
          <w:b/>
          <w:bCs/>
        </w:rPr>
      </w:pPr>
      <w:r w:rsidRPr="00490A14">
        <w:rPr>
          <w:b/>
          <w:bCs/>
        </w:rPr>
        <w:t>Краткая характеристика КИМ по учебному предмету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Содержание КИМ ЕГЭ определялось на основе ФГОС СОО с учетом примерной основной образовательной программы среднего общего образования. Была также обеспечена преемственность между положениями ФГОС ООО и федерального компонента государственного образовательного стандарта среднего (полного) общего образования, а также были сохранены установки, на основе которых формировались экзаменационные модели предыдущих лет.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КИМ ориентированы на проверку усвоения системы знаний и умений, формирование которых предусмотрено инвариантной частью действующих программ по химии для общеобразовательных организаций. Во ФГОС эта система знаний и умений представлена в виде требований к предметным и метапредметным результатам освоения учебного предмета. Строгое соответствие заданий данным требованиям соотносится с уровнем предъявления в КИМ проверяемых элементов содержания. Экзаменационные варианты по химии содержат задания, различные по форме предъявления условия и виду требуемого ответа (с кратким и развернутым ответами), по уровню сложности (базового, повышенного и высокого), а также по способам оценки их выполнения. Как и в предыдущие годы, задания КИМ ЕГЭ 2024 г. построены на учебном материале основных разделов школьного курса химии: общей, неорганической и органической, изучение которых обеспечивает овладение обучающимися системой химических знаний, а также с учетом его значимости для общеобразовательной подготовки выпускников средней школы. К числу главных составляющих этой системы относятся: ведущие понятия о химическом элементе, веществе и химической реакции; основные законы и теоретические положения химии; знания о системности и причинности химических явлений, генезисе веществ, способах познания веществ.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В целях обеспечения возможности дифференцированной оценки учебных достижений выпускников КИМ ЕГЭ проверку освоения основных образовательных программ по химии проводят на трёх уровнях сложности: базовом, повышенном и высоком.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>Каждое задание строилось таким образом, чтобы его содержание соответствовало требованиям к уровню усвоения учебного материала и формируемым видам учебной деятельности. Большое внимание при конструировании заданий было уделено усилению деятельностной и практико-ориентированной составляющей их содержания. Данный подход позволяет усилить дифференцирующую способность экзаменационной модели, так как требует от обучающихся последовательного выполнения нескольких мыслительных операций с опорой на понимание причинно-следственных связей, умения обобщать знания, применять ключевые понятия и др.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Структура и содержание заданий, предложенных в контрольных измерительных материалах (КИМ) для проведения в 2024 году ЕГЭ по химии полностью соответствуют Спецификации КИМ для проведения в 2024 году ЕГЭ по химии и Кодификатору элементов содержания и требований к уровню подготовки выпускников образовательных организаций для проведения ЕГЭ по химии.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Каждый вариант экзаменационной работы построен по единому плану: работа состоит из двух частей, включающих в себя 34 задания. Часть 1 содержит 28 заданий с кратким ответом, в их числе 17 заданий базового уровня сложности (в варианте они присутствуют под номерами: 1–5, 10, 11, 13, 17–21, 25–28) и 11 заданий повышенного уровня сложности (их порядковые номера: 6–9, 12, 14–16, 22–24). Часть 2 содержит 6 заданий высокого уровня сложности, с развёрнутым ответом. Это задания под номерами 29–34.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Количество заданий той или иной группы в общей структуре КИМ определено с учётом следующих факторов: а) глубины изучения проверяемых элементов содержания учебного материала как на базовом, так и на повышенном уровнях; б) требований к планируемым результатам обучения – предметным знаниям, предметным умениям и видам учебной деятельности.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>Задания базового уровня сложности с кратким ответом проверяют усвоение значительного количества сложности с кратким ответом проверяют усвоение значительного количества (43 из 53) элементов содержания всех содержательных блоков: «Теоретические основы химии», «Основы неорганической химии», «Основы органической химии», «Химия и жизнь», «Типы расчётных задач». Задания данной группы имеют сходство по формальному признаку – по форме краткого ответа, который записывается в виде последовательности цифр или в виде числа с заданной степенью точности. Между тем, по формулировкам условия они имеют значительные различия, чем, в свою очередь, определяются различия в поиске верного ответа. Это могут быть задания с единым контекстом (задания 1-3), с выбором двух или нескольких верных ответов из пяти, а также задания «на установление соответствия между позициями двух множеств». Каждое задание базового уровня сложности независимо от формата, в котором оно представлено, ориентировано на проверку усвоения одного или нескольких элементов содержания, относящихся к одной теме курса. Однако это не является основанием для того, чтобы отнести данные задания к категории лёгких, не требующих особых усилий для формулирования верного ответа. Напротив, выполнение любого из этих заданий предполагает обязательный и тщательный анализ условия и применение знаний в системе.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Задания повышенного уровня сложности с кратким ответом, который устанавливается в ходе выполнения задания и записывается согласно указаниям в виде определённой последовательности цифр, ориентированы на проверку усвоения обязательных элементов содержания основных образовательных программ по химии не только базового, но и углублённого уровней. В сравнении с заданиями предыдущей группы они предусматривают выполнение большего разнообразия действий в ситуации, предусматривающей применение знаний в условиях большого охвата теоретического материала и практических умений (например, для анализа химических свойств нескольких классов органических или неорганических веществ), а также сформированность умений систематизировать и обобщать полученные знания.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В экзаменационной работе предложена только одна разновидность этих заданий: на установление соответствия позиций, представленных в двух множествах. Это может быть соответствие между: названием органического соединения и классом/группой, к которому(-ой) оно принадлежит; фактором, влияющим на состояние химического равновесия, и направлением его смещения; исходными веществами и продуктами реакции между этими веществами; названием или формулой соли и продуктами, которые образуются на инертных электродах при электролизе её водного раствора, и т.д.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Для оценки сформированности интеллектуальных умений более высокого уровня, таких как умения устанавливать причинно-следственные связи между отдельными элементами знаний (например, между составом, строением и свойствами веществ), формулировать ответ в определённой логике с аргументацией сделанных выводов и заключений, используются задания высокого уровня сложности с развёрнутым ответом.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Задания с развёрнутым ответом, в отличие от заданий двух предыдущих типов, предусматривают комплексную проверку усвоения на углублённом уровне нескольких (двух и более) элементов содержания из различных содержательных блоков. Они подразделяются на следующие разновидности: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– задания, проверяющие усвоение важнейших элементов содержания, таких, например, как «окислительно-восстановительные реакции», «реакции ионного обмена»;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>– задания, проверяющие усвоение знаний о взаимосвязи веществ различных классов (на примерах превращений неорганических</w:t>
      </w:r>
      <w:r w:rsidR="00F119DC">
        <w:t xml:space="preserve"> </w:t>
      </w:r>
      <w:r w:rsidRPr="00490A14">
        <w:t xml:space="preserve">и органических веществ);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– расчётные задачи.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Задания с развёрнутым ответом ориентированы на проверку следующих умений: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 xml:space="preserve">– объяснять обусловленность свойств и применения веществ их составом и строением, характер взаимного влияния атомов в молекулах органических соединений, взаимосвязь неорганических и органических веществ, сущность и закономерность протекания изученных типов реакций; </w:t>
      </w:r>
    </w:p>
    <w:p w:rsidR="00490A14" w:rsidRPr="00490A14" w:rsidRDefault="00490A14" w:rsidP="00490A14">
      <w:pPr>
        <w:spacing w:line="276" w:lineRule="auto"/>
        <w:ind w:firstLine="709"/>
        <w:jc w:val="both"/>
      </w:pPr>
      <w:r w:rsidRPr="00490A14">
        <w:t>– проводить расчёты указанных физических величин по представленным в условии задания данным, а также комбинированные расчёты по уравнениям химических реакций.</w:t>
      </w:r>
    </w:p>
    <w:p w:rsidR="00490A14" w:rsidRDefault="00490A14" w:rsidP="00490A14">
      <w:pPr>
        <w:ind w:firstLine="567"/>
        <w:contextualSpacing/>
        <w:jc w:val="center"/>
        <w:rPr>
          <w:b/>
          <w:iCs/>
          <w:sz w:val="28"/>
          <w:szCs w:val="28"/>
        </w:rPr>
      </w:pPr>
      <w:r w:rsidRPr="00CC3194">
        <w:rPr>
          <w:b/>
          <w:iCs/>
          <w:sz w:val="28"/>
          <w:szCs w:val="28"/>
        </w:rPr>
        <w:t>Выявление сложных для участников ЕГЭ заданий</w:t>
      </w:r>
    </w:p>
    <w:p w:rsidR="00490A14" w:rsidRDefault="00490A14" w:rsidP="00490A14">
      <w:pPr>
        <w:ind w:firstLine="709"/>
        <w:contextualSpacing/>
        <w:jc w:val="both"/>
      </w:pPr>
      <w:r>
        <w:t>Задания ЕГЭ по химии делятся по уровню сложности на три группы, поэтому статистический материал, предоставленный для анализа, удобно разделить на три части, представленные в трёх нижеследующих диаграммах:</w:t>
      </w:r>
    </w:p>
    <w:p w:rsidR="00490A14" w:rsidRPr="002B5D8F" w:rsidRDefault="00490A14" w:rsidP="00490A14">
      <w:pPr>
        <w:contextualSpacing/>
        <w:jc w:val="center"/>
        <w:rPr>
          <w:b/>
          <w:bCs/>
        </w:rPr>
      </w:pPr>
      <w:r w:rsidRPr="002B5D8F">
        <w:rPr>
          <w:b/>
          <w:bCs/>
        </w:rPr>
        <w:t>Анализ результатов выполнения заданий базового уровня сложности:</w:t>
      </w:r>
    </w:p>
    <w:p w:rsidR="00490A14" w:rsidRDefault="00490A14" w:rsidP="00490A14">
      <w:pPr>
        <w:contextualSpacing/>
        <w:jc w:val="center"/>
      </w:pPr>
      <w:r>
        <w:rPr>
          <w:noProof/>
        </w:rPr>
        <w:drawing>
          <wp:inline distT="0" distB="0" distL="0" distR="0" wp14:anchorId="5723F078" wp14:editId="18CD2222">
            <wp:extent cx="5930265" cy="3459480"/>
            <wp:effectExtent l="0" t="0" r="13335" b="7620"/>
            <wp:docPr id="813986243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F908101E-82D1-7889-CA07-60B5CC63379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>
        <w:t xml:space="preserve">Из материалов статистического анализа результатов выполнения заданий базового уровня ЕГЭ 2024 г. можно выделить </w:t>
      </w:r>
      <w:r w:rsidRPr="002B5D8F">
        <w:rPr>
          <w:u w:val="single"/>
        </w:rPr>
        <w:t>5 заданий со средними процентами выполнения ниже 50: 4 (48,3%), 13 (31%), 17 (34,5%), 25 (44,8%), 28 (34,5%)</w:t>
      </w:r>
      <w:r>
        <w:t>. Очень низкие проценты выполнения этих заданий в группах слабо подготовленных участников, которые не преодолели минимальный балл и участников, получивших балл от минимального до 60,</w:t>
      </w:r>
      <w:r w:rsidRPr="001D49F8">
        <w:t xml:space="preserve"> </w:t>
      </w:r>
      <w:r>
        <w:t xml:space="preserve">в группе от 61 до 80 </w:t>
      </w:r>
      <w:proofErr w:type="spellStart"/>
      <w:r>
        <w:t>т.б</w:t>
      </w:r>
      <w:proofErr w:type="spellEnd"/>
      <w:r>
        <w:t>. (проценты выполнения ниже 50). Все задания базового уровня вызвали затруднения хорошо подготовленных участников,</w:t>
      </w:r>
      <w:r w:rsidRPr="002B5D8F">
        <w:t xml:space="preserve"> </w:t>
      </w:r>
      <w:r>
        <w:t xml:space="preserve">получивших балл от 61 до 80 (проценты выполнения ниже 50). Участники в группе от 81 до 100 </w:t>
      </w:r>
      <w:proofErr w:type="spellStart"/>
      <w:r>
        <w:t>т.б</w:t>
      </w:r>
      <w:proofErr w:type="spellEnd"/>
      <w:r>
        <w:t>. почти все справились на 100 процентов.</w:t>
      </w:r>
    </w:p>
    <w:p w:rsidR="00490A14" w:rsidRDefault="00490A14" w:rsidP="00490A14">
      <w:pPr>
        <w:ind w:firstLine="709"/>
        <w:contextualSpacing/>
        <w:jc w:val="both"/>
      </w:pPr>
      <w:r>
        <w:t xml:space="preserve"> Наиболее успешно выполненным можно считать: </w:t>
      </w:r>
    </w:p>
    <w:p w:rsidR="00490A14" w:rsidRDefault="00490A14" w:rsidP="00490A14">
      <w:pPr>
        <w:ind w:firstLine="709"/>
        <w:contextualSpacing/>
        <w:jc w:val="both"/>
      </w:pPr>
      <w:r>
        <w:t xml:space="preserve">- задания 1 в группе участников, которые не преодолели минимальный балл; </w:t>
      </w:r>
    </w:p>
    <w:p w:rsidR="00490A14" w:rsidRDefault="00490A14" w:rsidP="00490A14">
      <w:pPr>
        <w:ind w:firstLine="709"/>
        <w:contextualSpacing/>
        <w:jc w:val="both"/>
      </w:pPr>
      <w:r>
        <w:t xml:space="preserve">- задания 1,2,19,20,27 в группе участников, получивших балл от минимального до 60 (проценты выполнения выше 76); </w:t>
      </w:r>
    </w:p>
    <w:p w:rsidR="00490A14" w:rsidRDefault="00490A14" w:rsidP="00490A14">
      <w:pPr>
        <w:ind w:firstLine="709"/>
        <w:contextualSpacing/>
        <w:jc w:val="both"/>
        <w:rPr>
          <w:b/>
          <w:bCs/>
        </w:rPr>
      </w:pPr>
      <w:r>
        <w:t>- задания 1,2,3,4,5,10,11,13,18,19,20,21,26,27,28 в группе участников, получивших балл от 81 до 100 (процент выполнения 100).</w:t>
      </w:r>
    </w:p>
    <w:p w:rsidR="00490A14" w:rsidRPr="002B5D8F" w:rsidRDefault="00490A14" w:rsidP="00490A14">
      <w:pPr>
        <w:ind w:firstLine="142"/>
        <w:contextualSpacing/>
        <w:jc w:val="center"/>
        <w:rPr>
          <w:b/>
          <w:bCs/>
          <w:iCs/>
          <w:sz w:val="28"/>
          <w:szCs w:val="28"/>
        </w:rPr>
      </w:pPr>
      <w:r w:rsidRPr="002B5D8F">
        <w:rPr>
          <w:b/>
          <w:bCs/>
        </w:rPr>
        <w:t>Анализ результатов выполнения заданий повышенного уровня сложности</w:t>
      </w:r>
    </w:p>
    <w:p w:rsidR="00490A14" w:rsidRDefault="00490A14" w:rsidP="00490A14">
      <w:pPr>
        <w:contextualSpacing/>
        <w:jc w:val="center"/>
        <w:rPr>
          <w:bCs/>
          <w:iCs/>
          <w:sz w:val="28"/>
          <w:szCs w:val="28"/>
        </w:rPr>
      </w:pPr>
      <w:r w:rsidRPr="002872ED">
        <w:rPr>
          <w:noProof/>
        </w:rPr>
        <w:drawing>
          <wp:inline distT="0" distB="0" distL="0" distR="0" wp14:anchorId="10A33378" wp14:editId="5FFA3026">
            <wp:extent cx="5840730" cy="3459480"/>
            <wp:effectExtent l="0" t="0" r="7620" b="7620"/>
            <wp:docPr id="607030570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BFFBEC5-607E-4000-B2F1-9B6376D657F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>
        <w:t>Из материалов статистического анализа результатов выполнения заданий ЕГЭ 2024г. повышенного уровня сложности следует, что средний процент выполнения всех этих заданий выше 15%.</w:t>
      </w:r>
    </w:p>
    <w:p w:rsidR="00490A14" w:rsidRDefault="00490A14" w:rsidP="00490A14">
      <w:pPr>
        <w:ind w:firstLine="709"/>
        <w:contextualSpacing/>
        <w:jc w:val="both"/>
      </w:pPr>
      <w:r>
        <w:t>В группе слабо подготовленных участников, которые не преодолели минимальный балл, средний процент выполнения зад</w:t>
      </w:r>
      <w:r w:rsidR="00F119DC">
        <w:t>аний 7 (10%) и 12 (20%) находит</w:t>
      </w:r>
      <w:r>
        <w:t xml:space="preserve">ся на низком уровне, а процент выполнения заданий 8,14,15,16,22,24 соответствует 0%. </w:t>
      </w:r>
    </w:p>
    <w:p w:rsidR="00490A14" w:rsidRPr="005908F7" w:rsidRDefault="00490A14" w:rsidP="00490A14">
      <w:pPr>
        <w:ind w:firstLine="709"/>
        <w:contextualSpacing/>
        <w:jc w:val="both"/>
      </w:pPr>
      <w:r w:rsidRPr="005908F7">
        <w:t xml:space="preserve">В группе участников, получивших балл от минимального до 60, процент выполнения только четырёх заданий (6,9,15 и 23) выше 50. В основном эти задания не вызвали особых затруднений в группах хорошо и отлично подготовленных участников (проценты выполнения в основном выше 60). </w:t>
      </w:r>
    </w:p>
    <w:p w:rsidR="00490A14" w:rsidRDefault="00490A14" w:rsidP="00490A14">
      <w:pPr>
        <w:ind w:firstLine="709"/>
        <w:contextualSpacing/>
        <w:jc w:val="both"/>
      </w:pPr>
      <w:r w:rsidRPr="005908F7">
        <w:t>В трёх группах участников процент выполнения всех задан</w:t>
      </w:r>
      <w:r w:rsidR="00F119DC">
        <w:t>ий повышенного уровня выше 15 (</w:t>
      </w:r>
      <w:r w:rsidRPr="005908F7">
        <w:t>кроме задания 7 и 24).</w:t>
      </w:r>
      <w:r>
        <w:t xml:space="preserve"> </w:t>
      </w:r>
    </w:p>
    <w:p w:rsidR="00490A14" w:rsidRDefault="00490A14" w:rsidP="00490A14">
      <w:pPr>
        <w:ind w:firstLine="709"/>
        <w:contextualSpacing/>
        <w:jc w:val="both"/>
      </w:pPr>
      <w:r w:rsidRPr="00A855E4">
        <w:rPr>
          <w:u w:val="single"/>
        </w:rPr>
        <w:t>Самыми низкими процентами выполнения характеризуются задание 7 и 24</w:t>
      </w:r>
      <w:r>
        <w:t xml:space="preserve"> (7,7% и 11,5% соответственно) в группе участников, получивших балл от минимального до 60, в группе получивших балл от 61 до 80 (62,5% и 50% соответственно), в группе получивших балл от 81 до 100 (50% и 83,3% соответственно). </w:t>
      </w:r>
    </w:p>
    <w:p w:rsidR="00490A14" w:rsidRDefault="00490A14" w:rsidP="00490A14">
      <w:pPr>
        <w:ind w:firstLine="709"/>
        <w:contextualSpacing/>
        <w:jc w:val="both"/>
      </w:pPr>
      <w:r>
        <w:t xml:space="preserve">Наиболее успешно выполненными заданиями можно считать: </w:t>
      </w:r>
    </w:p>
    <w:p w:rsidR="00490A14" w:rsidRDefault="00490A14" w:rsidP="00490A14">
      <w:pPr>
        <w:ind w:firstLine="709"/>
        <w:contextualSpacing/>
        <w:jc w:val="both"/>
      </w:pPr>
      <w:r>
        <w:t xml:space="preserve">- задания 6,9 и 23 в группе участников, которые не преодолели минимальный балл (проценты выполнения 50 и выше); </w:t>
      </w:r>
    </w:p>
    <w:p w:rsidR="00490A14" w:rsidRDefault="00490A14" w:rsidP="00490A14">
      <w:pPr>
        <w:ind w:firstLine="709"/>
        <w:contextualSpacing/>
        <w:jc w:val="both"/>
      </w:pPr>
      <w:r>
        <w:t xml:space="preserve">- задания 6,9,15,23 в группе участников, получивших балл от минимального до 60 (проценты выполнения выше 50); </w:t>
      </w:r>
    </w:p>
    <w:p w:rsidR="00490A14" w:rsidRDefault="00490A14" w:rsidP="00490A14">
      <w:pPr>
        <w:ind w:firstLine="709"/>
        <w:contextualSpacing/>
        <w:jc w:val="both"/>
      </w:pPr>
      <w:r>
        <w:t xml:space="preserve">- задания 6,8,14,22,23 в группе участников, получивших балл от 61 до 80 (проценты выполнения выше 70); </w:t>
      </w:r>
    </w:p>
    <w:p w:rsidR="00490A14" w:rsidRDefault="00490A14" w:rsidP="00490A14">
      <w:pPr>
        <w:ind w:firstLine="709"/>
        <w:contextualSpacing/>
        <w:jc w:val="both"/>
        <w:rPr>
          <w:bCs/>
          <w:iCs/>
          <w:sz w:val="28"/>
          <w:szCs w:val="28"/>
        </w:rPr>
      </w:pPr>
      <w:r>
        <w:t>-все задания кроме задания 7 и 9 в группе участников, получивших балл от 81 до 100 (проценты выполнения выше 80). Задания 6,8,12,14,15,16,22,23 выполнили 100%</w:t>
      </w:r>
    </w:p>
    <w:p w:rsidR="00490A14" w:rsidRPr="005908F7" w:rsidRDefault="00490A14" w:rsidP="00490A14">
      <w:pPr>
        <w:contextualSpacing/>
        <w:jc w:val="center"/>
        <w:rPr>
          <w:b/>
          <w:bCs/>
        </w:rPr>
      </w:pPr>
      <w:r w:rsidRPr="005908F7">
        <w:rPr>
          <w:b/>
          <w:bCs/>
        </w:rPr>
        <w:t>Анализ результатов выполнения заданий высокого уровня сложности</w:t>
      </w:r>
    </w:p>
    <w:p w:rsidR="00490A14" w:rsidRDefault="00490A14" w:rsidP="002872ED">
      <w:pPr>
        <w:contextualSpacing/>
        <w:jc w:val="both"/>
      </w:pPr>
      <w:r w:rsidRPr="002872ED">
        <w:rPr>
          <w:noProof/>
        </w:rPr>
        <w:drawing>
          <wp:inline distT="0" distB="0" distL="0" distR="0" wp14:anchorId="1C160C6E" wp14:editId="14E79DA6">
            <wp:extent cx="5966460" cy="3550920"/>
            <wp:effectExtent l="0" t="0" r="15240" b="11430"/>
            <wp:docPr id="2007262738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E5C9549-AD7F-4630-B8EE-2C47F5B851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>
        <w:t xml:space="preserve">Из материалов статистического анализа результатов выполнения заданий высокого уровня ЕГЭ 2023 г. следует, что </w:t>
      </w:r>
      <w:r w:rsidRPr="00A855E4">
        <w:rPr>
          <w:u w:val="single"/>
        </w:rPr>
        <w:t>средний процент выполнения задания 34 – 5,2%</w:t>
      </w:r>
      <w:r>
        <w:t xml:space="preserve">, а остальных заданий этой группы ниже 50% выполнения. </w:t>
      </w:r>
    </w:p>
    <w:p w:rsidR="00490A14" w:rsidRDefault="00490A14" w:rsidP="00490A14">
      <w:pPr>
        <w:ind w:firstLine="709"/>
        <w:contextualSpacing/>
        <w:jc w:val="both"/>
      </w:pPr>
      <w:r>
        <w:t xml:space="preserve">Чрезвычайно низок процент выполнения этих заданий слабо подготовленными участниками – все задания этого блока имеют 0% выполнения. В группе участников, получивших баллы от минимального до 60., все задания (кроме 34) имеют процент выполнения выше 15, но не превышают 31%. </w:t>
      </w:r>
    </w:p>
    <w:p w:rsidR="00490A14" w:rsidRDefault="00490A14" w:rsidP="00490A14">
      <w:pPr>
        <w:ind w:firstLine="709"/>
        <w:contextualSpacing/>
        <w:jc w:val="both"/>
      </w:pPr>
      <w:r>
        <w:t xml:space="preserve">Процент выполнения задания 34 ниже 10%. Процент выполнения задания 34 низкий и в группе получивших баллы от 61 до 80. Справились с заданием 34 менее 10% участников. Задание 34 оказались самым трудным для всех участников, получивших баллы от минимального до 100. (средний процент выполнения этого задания 5,2%). </w:t>
      </w:r>
    </w:p>
    <w:p w:rsidR="00490A14" w:rsidRDefault="00490A14" w:rsidP="00490A14">
      <w:pPr>
        <w:ind w:firstLine="709"/>
        <w:contextualSpacing/>
        <w:jc w:val="both"/>
      </w:pPr>
      <w:r>
        <w:t xml:space="preserve">Наиболее успешно выполненными заданиями можно считать: </w:t>
      </w:r>
    </w:p>
    <w:p w:rsidR="00490A14" w:rsidRDefault="00490A14" w:rsidP="00490A14">
      <w:pPr>
        <w:ind w:firstLine="709"/>
        <w:contextualSpacing/>
        <w:jc w:val="both"/>
      </w:pPr>
      <w:r>
        <w:t xml:space="preserve">- задания 30-30,8% в группе участников, получивших балл от минимального до 60; </w:t>
      </w:r>
    </w:p>
    <w:p w:rsidR="00490A14" w:rsidRDefault="00490A14" w:rsidP="00490A14">
      <w:pPr>
        <w:ind w:firstLine="709"/>
        <w:contextualSpacing/>
        <w:jc w:val="both"/>
      </w:pPr>
      <w:r>
        <w:t xml:space="preserve">- задания 29,30,31 в группе участников, получивших балл от 61 до 80 (проценты выполнения выше 60); </w:t>
      </w:r>
    </w:p>
    <w:p w:rsidR="002872ED" w:rsidRDefault="00490A14" w:rsidP="002872ED">
      <w:pPr>
        <w:ind w:firstLine="709"/>
        <w:contextualSpacing/>
        <w:jc w:val="both"/>
      </w:pPr>
      <w:r>
        <w:t xml:space="preserve">- задания 29,30,31,32,33 в группе участников, получивших балл от 81 до 100 (проценты выполнения выше 88). </w:t>
      </w:r>
    </w:p>
    <w:p w:rsidR="002872ED" w:rsidRPr="00F8744F" w:rsidRDefault="002872ED" w:rsidP="002872ED">
      <w:pPr>
        <w:ind w:firstLine="709"/>
        <w:jc w:val="both"/>
        <w:rPr>
          <w:u w:val="single"/>
        </w:rPr>
      </w:pPr>
      <w:r w:rsidRPr="00F8744F">
        <w:rPr>
          <w:u w:val="single"/>
        </w:rPr>
        <w:t>Существенных изменений контрольно-измерительных материалов ЕГЭ по химии в 2024 году по сравнению с материалами пр</w:t>
      </w:r>
      <w:r w:rsidR="00F119DC">
        <w:rPr>
          <w:u w:val="single"/>
        </w:rPr>
        <w:t>ошлых лет не произошло. В целом</w:t>
      </w:r>
      <w:r w:rsidRPr="00F8744F">
        <w:rPr>
          <w:u w:val="single"/>
        </w:rPr>
        <w:t xml:space="preserve"> наблюдается повышение процента выполнения заданий практически по всем темам, в том числе, по второй части. Однако, традиционно уровень выполнения заданий 2 части ЕГЭ характеризуется относительно невысокими результатами.</w:t>
      </w:r>
    </w:p>
    <w:p w:rsidR="002872ED" w:rsidRPr="00F8744F" w:rsidRDefault="002872ED" w:rsidP="002872ED">
      <w:pPr>
        <w:ind w:firstLine="709"/>
        <w:jc w:val="both"/>
        <w:rPr>
          <w:u w:val="single"/>
        </w:rPr>
      </w:pPr>
      <w:r w:rsidRPr="00F8744F">
        <w:rPr>
          <w:u w:val="single"/>
        </w:rPr>
        <w:t>Как следует из данных, представленных в таблице 2-13 и диаграмме, к 2024 году по сравнению с результатами 2023 года повысился средний процент выполнения заданий.</w:t>
      </w:r>
    </w:p>
    <w:p w:rsidR="002872ED" w:rsidRDefault="002872ED" w:rsidP="002872ED">
      <w:pPr>
        <w:contextualSpacing/>
        <w:jc w:val="both"/>
      </w:pPr>
      <w:r>
        <w:rPr>
          <w:noProof/>
        </w:rPr>
        <w:drawing>
          <wp:inline distT="0" distB="0" distL="0" distR="0" wp14:anchorId="5AE05235" wp14:editId="6ABE9098">
            <wp:extent cx="5970905" cy="2766060"/>
            <wp:effectExtent l="0" t="0" r="10795" b="15240"/>
            <wp:docPr id="683553898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6AE4FC3F-CF08-E12F-5269-FA065C6A4C5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872ED" w:rsidRDefault="002872ED" w:rsidP="002872ED">
      <w:pPr>
        <w:ind w:firstLine="709"/>
        <w:jc w:val="both"/>
      </w:pPr>
      <w:r>
        <w:t xml:space="preserve">Только задания под номерами 7, 13, 16, 17, 24, 25, 27, 31, и 34 выполнены участниками ЕГЭ 2024 года хуже относительно 2023 года. </w:t>
      </w:r>
    </w:p>
    <w:p w:rsidR="002872ED" w:rsidRDefault="002872ED" w:rsidP="002872ED">
      <w:pPr>
        <w:ind w:firstLine="709"/>
        <w:contextualSpacing/>
        <w:jc w:val="both"/>
      </w:pPr>
    </w:p>
    <w:p w:rsidR="002872ED" w:rsidRDefault="002872ED" w:rsidP="002872ED">
      <w:pPr>
        <w:ind w:firstLine="709"/>
        <w:contextualSpacing/>
        <w:jc w:val="both"/>
      </w:pPr>
    </w:p>
    <w:p w:rsidR="002872ED" w:rsidRDefault="002872ED" w:rsidP="002872ED">
      <w:pPr>
        <w:ind w:firstLine="709"/>
        <w:contextualSpacing/>
        <w:jc w:val="both"/>
      </w:pPr>
    </w:p>
    <w:p w:rsidR="00490A14" w:rsidRPr="002872ED" w:rsidRDefault="00490A14" w:rsidP="002872ED">
      <w:pPr>
        <w:contextualSpacing/>
        <w:jc w:val="center"/>
        <w:rPr>
          <w:b/>
          <w:bCs/>
        </w:rPr>
      </w:pPr>
      <w:r w:rsidRPr="002872ED">
        <w:rPr>
          <w:b/>
          <w:bCs/>
        </w:rPr>
        <w:t>Содержательный анализ выполнения заданий КИМ</w:t>
      </w:r>
    </w:p>
    <w:p w:rsidR="00490A14" w:rsidRPr="00727A8C" w:rsidRDefault="00490A14" w:rsidP="00490A14">
      <w:pPr>
        <w:rPr>
          <w:lang w:val="x-none"/>
        </w:rPr>
      </w:pPr>
    </w:p>
    <w:p w:rsidR="00490A14" w:rsidRDefault="00490A14" w:rsidP="00490A14">
      <w:pPr>
        <w:ind w:firstLine="709"/>
        <w:contextualSpacing/>
        <w:jc w:val="both"/>
      </w:pPr>
      <w:bookmarkStart w:id="0" w:name="_Hlk162237529"/>
      <w:r w:rsidRPr="00065303">
        <w:t xml:space="preserve">Из материалов статистического </w:t>
      </w:r>
      <w:r w:rsidRPr="00416565">
        <w:rPr>
          <w:u w:val="single"/>
        </w:rPr>
        <w:t>анализа результатов выполнения заданий базового уровня ЕГЭ 2024</w:t>
      </w:r>
      <w:r w:rsidRPr="00065303">
        <w:t xml:space="preserve"> г. можно выделить</w:t>
      </w:r>
      <w:r w:rsidR="002872ED">
        <w:t xml:space="preserve"> </w:t>
      </w:r>
      <w:r>
        <w:t>5</w:t>
      </w:r>
      <w:r w:rsidRPr="00065303">
        <w:t xml:space="preserve"> следующи</w:t>
      </w:r>
      <w:r>
        <w:t>х</w:t>
      </w:r>
      <w:r w:rsidRPr="00065303">
        <w:t xml:space="preserve"> задани</w:t>
      </w:r>
      <w:r>
        <w:t>й</w:t>
      </w:r>
      <w:r w:rsidRPr="00065303">
        <w:t xml:space="preserve"> со средними процентами выполнения ниже 50: 4, 13, 17, 25, 28. </w:t>
      </w:r>
    </w:p>
    <w:p w:rsidR="00490A14" w:rsidRDefault="00490A14" w:rsidP="00490A14">
      <w:pPr>
        <w:ind w:firstLine="709"/>
        <w:contextualSpacing/>
        <w:jc w:val="both"/>
      </w:pPr>
      <w:r w:rsidRPr="005B476E">
        <w:rPr>
          <w:b/>
          <w:bCs/>
        </w:rPr>
        <w:t>Задание 4</w:t>
      </w:r>
      <w:r w:rsidRPr="00065303">
        <w:t xml:space="preserve">, проверяющее умение классифицировать </w:t>
      </w:r>
      <w:r>
        <w:t>о</w:t>
      </w:r>
      <w:r w:rsidRPr="005B476E">
        <w:t>пределять/классифицировать</w:t>
      </w:r>
      <w:r>
        <w:t xml:space="preserve"> </w:t>
      </w:r>
      <w:r w:rsidRPr="005B476E">
        <w:t>вид химических связей в соединениях и тип кристаллической решёт</w:t>
      </w:r>
      <w:r>
        <w:t xml:space="preserve">ки, </w:t>
      </w:r>
      <w:r w:rsidRPr="00065303">
        <w:t>формулы веществ для формирования ответа представлены списком, а в пронумерованных ячейках таблицы необходимо внести ответы в виде ц</w:t>
      </w:r>
      <w:r>
        <w:t>и</w:t>
      </w:r>
      <w:r w:rsidRPr="00065303">
        <w:t xml:space="preserve">фр в соответствующей последовательности. Не все экзаменуемые </w:t>
      </w:r>
      <w:r>
        <w:t>умеют соотносить тип связи с кристаллической решеткой, которая этой связи в конкретном веществе соответствует</w:t>
      </w:r>
      <w:r w:rsidRPr="00065303">
        <w:t>. В варианте 3</w:t>
      </w:r>
      <w:r>
        <w:t>0</w:t>
      </w:r>
      <w:r w:rsidRPr="00065303">
        <w:t xml:space="preserve">1 </w:t>
      </w:r>
      <w:r>
        <w:t>надо было выбрать 2 вещества с ковалентной полярной связью и ионной кристаллической решеткой</w:t>
      </w:r>
      <w:r w:rsidRPr="00065303">
        <w:t>. Возможно участникам сложно было сделать выбор</w:t>
      </w:r>
      <w:r>
        <w:t xml:space="preserve"> веществ</w:t>
      </w:r>
      <w:r w:rsidRPr="00065303">
        <w:t xml:space="preserve">, </w:t>
      </w:r>
      <w:proofErr w:type="gramStart"/>
      <w:r w:rsidRPr="00065303">
        <w:t>т.к</w:t>
      </w:r>
      <w:proofErr w:type="gramEnd"/>
      <w:r w:rsidRPr="00065303">
        <w:t xml:space="preserve"> не </w:t>
      </w:r>
      <w:r>
        <w:t xml:space="preserve">все знают ион </w:t>
      </w:r>
      <w:proofErr w:type="spellStart"/>
      <w:r>
        <w:t>фосфония</w:t>
      </w:r>
      <w:proofErr w:type="spellEnd"/>
      <w:r w:rsidRPr="00065303">
        <w:t>. На это следует обращать внимание учащихся в процессе обучения.</w:t>
      </w:r>
    </w:p>
    <w:p w:rsidR="00490A14" w:rsidRDefault="00490A14" w:rsidP="00490A14">
      <w:pPr>
        <w:ind w:firstLine="709"/>
        <w:contextualSpacing/>
        <w:jc w:val="both"/>
      </w:pPr>
      <w:r w:rsidRPr="005B476E">
        <w:rPr>
          <w:noProof/>
        </w:rPr>
        <w:drawing>
          <wp:inline distT="0" distB="0" distL="0" distR="0" wp14:anchorId="149799F0" wp14:editId="16F93B3F">
            <wp:extent cx="4891178" cy="1834191"/>
            <wp:effectExtent l="0" t="0" r="5080" b="0"/>
            <wp:docPr id="4609681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681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0931" cy="1841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26F">
        <w:t xml:space="preserve"> </w:t>
      </w:r>
    </w:p>
    <w:p w:rsidR="00490A14" w:rsidRDefault="00490A14" w:rsidP="00490A14">
      <w:pPr>
        <w:ind w:firstLine="709"/>
        <w:contextualSpacing/>
        <w:jc w:val="both"/>
      </w:pPr>
      <w:r w:rsidRPr="00065303">
        <w:t xml:space="preserve">В </w:t>
      </w:r>
      <w:r w:rsidRPr="005B476E">
        <w:rPr>
          <w:b/>
          <w:bCs/>
        </w:rPr>
        <w:t>задании 13</w:t>
      </w:r>
      <w:r w:rsidRPr="008C026F">
        <w:t>, проверяюще</w:t>
      </w:r>
      <w:r>
        <w:t>м</w:t>
      </w:r>
      <w:r w:rsidRPr="008C026F">
        <w:t xml:space="preserve"> умение классифицировать органические вещества, знание их химических свойств и способы получения 25 азотсодержащих органических веществ: формулы веществ для формирования ответа представлены списком, а в пронумерованных ячейках таблицы необходимо внести ответы в виде ц</w:t>
      </w:r>
      <w:r>
        <w:t>и</w:t>
      </w:r>
      <w:r w:rsidRPr="008C026F">
        <w:t xml:space="preserve">фр в соответствующей последовательности. Не все экзаменуемые знают </w:t>
      </w:r>
      <w:r>
        <w:t xml:space="preserve">химические </w:t>
      </w:r>
      <w:r w:rsidRPr="008C026F">
        <w:t xml:space="preserve"> </w:t>
      </w:r>
      <w:r>
        <w:t>свойства аминов и аминокислот</w:t>
      </w:r>
      <w:r w:rsidRPr="008C026F">
        <w:t>. На это следует обращать внимание учащихся в процессе обучения.</w:t>
      </w:r>
    </w:p>
    <w:p w:rsidR="00490A14" w:rsidRDefault="00490A14" w:rsidP="00490A14">
      <w:pPr>
        <w:ind w:firstLine="709"/>
        <w:contextualSpacing/>
        <w:jc w:val="both"/>
      </w:pPr>
      <w:r w:rsidRPr="008C026F">
        <w:rPr>
          <w:noProof/>
        </w:rPr>
        <w:drawing>
          <wp:inline distT="0" distB="0" distL="0" distR="0" wp14:anchorId="7262960F" wp14:editId="4B23A3CD">
            <wp:extent cx="4908431" cy="1793778"/>
            <wp:effectExtent l="0" t="0" r="6985" b="0"/>
            <wp:docPr id="696892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8923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6153" cy="1803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 w:rsidRPr="00065303">
        <w:t xml:space="preserve">В </w:t>
      </w:r>
      <w:r w:rsidRPr="00FB57AA">
        <w:rPr>
          <w:b/>
          <w:bCs/>
        </w:rPr>
        <w:t>задании 17</w:t>
      </w:r>
      <w:r w:rsidRPr="00065303">
        <w:t xml:space="preserve"> </w:t>
      </w:r>
      <w:r>
        <w:t>нет</w:t>
      </w:r>
      <w:r w:rsidRPr="00065303">
        <w:t xml:space="preserve"> ограничение на количество элементов ответа, из которых может состоять полный правильный ответ, что, безусловно, усложняет принятие решения экзаменуемым и требует больше времени на формирование ответа. </w:t>
      </w:r>
    </w:p>
    <w:p w:rsidR="00490A14" w:rsidRDefault="00490A14" w:rsidP="00490A14">
      <w:pPr>
        <w:ind w:firstLine="709"/>
        <w:contextualSpacing/>
        <w:jc w:val="both"/>
      </w:pPr>
      <w:r w:rsidRPr="00065303">
        <w:t>В варианте 3</w:t>
      </w:r>
      <w:r>
        <w:t>0</w:t>
      </w:r>
      <w:r w:rsidRPr="00065303">
        <w:t>1 для выбора ответа были даны</w:t>
      </w:r>
      <w:r>
        <w:t xml:space="preserve"> разные типы реакций, которые характеризуют реакцию водорода со фтором</w:t>
      </w:r>
      <w:r w:rsidRPr="00065303">
        <w:t xml:space="preserve">. Возможно участникам сложно было сделать выбор, </w:t>
      </w:r>
      <w:proofErr w:type="gramStart"/>
      <w:r w:rsidRPr="00065303">
        <w:t>т.к</w:t>
      </w:r>
      <w:proofErr w:type="gramEnd"/>
      <w:r w:rsidRPr="00065303">
        <w:t xml:space="preserve"> не</w:t>
      </w:r>
      <w:r>
        <w:t>допонимают</w:t>
      </w:r>
      <w:r w:rsidRPr="00065303">
        <w:t xml:space="preserve"> разниц</w:t>
      </w:r>
      <w:r>
        <w:t>у</w:t>
      </w:r>
      <w:r w:rsidRPr="00065303">
        <w:t xml:space="preserve"> между этими процессами.</w:t>
      </w:r>
    </w:p>
    <w:p w:rsidR="00490A14" w:rsidRDefault="00490A14" w:rsidP="00490A14">
      <w:pPr>
        <w:ind w:firstLine="709"/>
        <w:contextualSpacing/>
        <w:jc w:val="both"/>
      </w:pPr>
      <w:r w:rsidRPr="00FB57AA">
        <w:rPr>
          <w:noProof/>
        </w:rPr>
        <w:drawing>
          <wp:inline distT="0" distB="0" distL="0" distR="0" wp14:anchorId="314FCE1C" wp14:editId="5DA2CB75">
            <wp:extent cx="5725324" cy="2029108"/>
            <wp:effectExtent l="0" t="0" r="8890" b="9525"/>
            <wp:docPr id="13588621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86217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25324" cy="2029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 w:rsidRPr="00065303">
        <w:t xml:space="preserve">В процессе обучения необходимо больше решать задачи со свободным выбором вариантов ответа. Акцентировать внимание на общие черты и различия химических процессов. </w:t>
      </w:r>
    </w:p>
    <w:p w:rsidR="00490A14" w:rsidRDefault="00490A14" w:rsidP="00490A14">
      <w:pPr>
        <w:ind w:firstLine="709"/>
        <w:contextualSpacing/>
        <w:jc w:val="both"/>
      </w:pPr>
      <w:r w:rsidRPr="00065303">
        <w:t xml:space="preserve">В </w:t>
      </w:r>
      <w:r w:rsidRPr="00FB57AA">
        <w:rPr>
          <w:b/>
          <w:bCs/>
        </w:rPr>
        <w:t>задании 25</w:t>
      </w:r>
      <w:r w:rsidRPr="00065303">
        <w:t xml:space="preserve">: требуется соотнести </w:t>
      </w:r>
      <w:r>
        <w:t>Область применения веществ с конкретным веществом</w:t>
      </w:r>
      <w:r w:rsidRPr="00065303">
        <w:t xml:space="preserve">. </w:t>
      </w:r>
      <w:r>
        <w:t>Вероятно, при подготовке к экзамену, не все участники уделяют достаточно внимания этим темам.</w:t>
      </w:r>
    </w:p>
    <w:p w:rsidR="00490A14" w:rsidRDefault="00490A14" w:rsidP="00490A14">
      <w:pPr>
        <w:ind w:firstLine="709"/>
        <w:contextualSpacing/>
        <w:jc w:val="both"/>
      </w:pPr>
      <w:r w:rsidRPr="0010758F">
        <w:rPr>
          <w:noProof/>
        </w:rPr>
        <w:drawing>
          <wp:inline distT="0" distB="0" distL="0" distR="0" wp14:anchorId="496425B0" wp14:editId="2206B724">
            <wp:extent cx="5696745" cy="2495898"/>
            <wp:effectExtent l="0" t="0" r="0" b="0"/>
            <wp:docPr id="13239649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96491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96745" cy="249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 w:rsidRPr="00065303">
        <w:t xml:space="preserve">В </w:t>
      </w:r>
      <w:r w:rsidRPr="0010758F">
        <w:rPr>
          <w:b/>
          <w:bCs/>
        </w:rPr>
        <w:t>задании 28</w:t>
      </w:r>
      <w:r w:rsidRPr="00065303">
        <w:t xml:space="preserve">: определить </w:t>
      </w:r>
      <w:r>
        <w:t>объем</w:t>
      </w:r>
      <w:r w:rsidRPr="00065303">
        <w:t xml:space="preserve"> продукта реакции</w:t>
      </w:r>
      <w:r>
        <w:t xml:space="preserve">, с учетом его выхода, </w:t>
      </w:r>
      <w:r w:rsidRPr="00065303">
        <w:t xml:space="preserve">исходя от массы </w:t>
      </w:r>
      <w:r>
        <w:t xml:space="preserve">исходного </w:t>
      </w:r>
      <w:r w:rsidRPr="00065303">
        <w:t>вещества, что предполагает дополнительную мыслительную операцию и ещё одно расчётное действие, проверяет сформированность умения давать количественную оценку. В варианте 3</w:t>
      </w:r>
      <w:r>
        <w:t>0</w:t>
      </w:r>
      <w:r w:rsidRPr="00065303">
        <w:t xml:space="preserve">1 требовалось учесть </w:t>
      </w:r>
      <w:r>
        <w:t>объемную долю выхода газа</w:t>
      </w:r>
      <w:r w:rsidRPr="00065303">
        <w:t>, что усложнило формирование ответа. В процессе обучения надо больше решать задачи такого практико</w:t>
      </w:r>
      <w:r>
        <w:t>-</w:t>
      </w:r>
      <w:r w:rsidRPr="00065303">
        <w:t xml:space="preserve">ориентированного типа. </w:t>
      </w:r>
    </w:p>
    <w:p w:rsidR="00490A14" w:rsidRDefault="00490A14" w:rsidP="00490A14">
      <w:pPr>
        <w:ind w:firstLine="709"/>
        <w:contextualSpacing/>
        <w:jc w:val="both"/>
      </w:pPr>
      <w:r w:rsidRPr="0010758F">
        <w:rPr>
          <w:noProof/>
        </w:rPr>
        <w:drawing>
          <wp:inline distT="0" distB="0" distL="0" distR="0" wp14:anchorId="76ACB09F" wp14:editId="5A00CE14">
            <wp:extent cx="5734850" cy="1028844"/>
            <wp:effectExtent l="0" t="0" r="0" b="0"/>
            <wp:docPr id="14127695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76958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4850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 w:rsidRPr="00065303">
        <w:t xml:space="preserve">Очень низкие проценты выполнения этих </w:t>
      </w:r>
      <w:r>
        <w:t>пяти</w:t>
      </w:r>
      <w:r w:rsidRPr="00065303">
        <w:t xml:space="preserve"> заданий в группах слабо подготовленных участников, которые не преодолели минимальный балл, и участников, получивших балл от минимального до 60</w:t>
      </w:r>
      <w:r>
        <w:t>, от 61 и до 80</w:t>
      </w:r>
      <w:r w:rsidRPr="00065303">
        <w:t xml:space="preserve"> (проценты выполнения ниже 50). Однако эти задания не вызвали особых затруднений в групп</w:t>
      </w:r>
      <w:r>
        <w:t xml:space="preserve">е </w:t>
      </w:r>
      <w:r w:rsidRPr="00065303">
        <w:t>отлично подготовленных участников (проценты выполнения выше 50).</w:t>
      </w:r>
    </w:p>
    <w:p w:rsidR="00490A14" w:rsidRDefault="00490A14" w:rsidP="00490A14">
      <w:pPr>
        <w:ind w:firstLine="709"/>
        <w:contextualSpacing/>
        <w:jc w:val="both"/>
      </w:pPr>
      <w:r w:rsidRPr="00065303">
        <w:t xml:space="preserve">Из материалов статистического </w:t>
      </w:r>
      <w:r w:rsidRPr="00416565">
        <w:rPr>
          <w:u w:val="single"/>
        </w:rPr>
        <w:t>анализа результатов выполнения заданий повышенного уровня ЕГЭ 202</w:t>
      </w:r>
      <w:r>
        <w:rPr>
          <w:u w:val="single"/>
        </w:rPr>
        <w:t>4</w:t>
      </w:r>
      <w:r w:rsidRPr="00416565">
        <w:rPr>
          <w:u w:val="single"/>
        </w:rPr>
        <w:t xml:space="preserve"> </w:t>
      </w:r>
      <w:r w:rsidRPr="00065303">
        <w:t xml:space="preserve">г. следует, что средний процент выполнения всех этих заданий </w:t>
      </w:r>
      <w:r>
        <w:t>выше 15</w:t>
      </w:r>
      <w:r w:rsidRPr="00065303">
        <w:t xml:space="preserve">, а самым низким средним процентом выполнения характеризуется задание </w:t>
      </w:r>
      <w:r>
        <w:t xml:space="preserve">7 и </w:t>
      </w:r>
      <w:r w:rsidRPr="00065303">
        <w:t>24</w:t>
      </w:r>
      <w:r>
        <w:t xml:space="preserve"> (27,6%).</w:t>
      </w:r>
      <w:r w:rsidRPr="00065303">
        <w:t xml:space="preserve"> </w:t>
      </w:r>
    </w:p>
    <w:p w:rsidR="00490A14" w:rsidRPr="00416565" w:rsidRDefault="00490A14" w:rsidP="00490A14">
      <w:pPr>
        <w:ind w:firstLine="709"/>
        <w:contextualSpacing/>
        <w:jc w:val="both"/>
      </w:pPr>
      <w:r w:rsidRPr="00065303">
        <w:t xml:space="preserve">В </w:t>
      </w:r>
      <w:r w:rsidRPr="00AC1E64">
        <w:rPr>
          <w:b/>
          <w:bCs/>
        </w:rPr>
        <w:t xml:space="preserve">задании </w:t>
      </w:r>
      <w:r>
        <w:rPr>
          <w:b/>
          <w:bCs/>
        </w:rPr>
        <w:t>7</w:t>
      </w:r>
      <w:r w:rsidRPr="00065303">
        <w:t xml:space="preserve"> </w:t>
      </w:r>
      <w:r w:rsidRPr="00416565">
        <w:t xml:space="preserve">задании проверяются знания свойств неорганических соединений. В варианте 301 необходимо подобрать соответствие веществ и реагентов, с которыми они взаимодействуют. </w:t>
      </w:r>
    </w:p>
    <w:p w:rsidR="00490A14" w:rsidRDefault="00490A14" w:rsidP="00490A14">
      <w:pPr>
        <w:ind w:firstLine="709"/>
        <w:contextualSpacing/>
        <w:jc w:val="both"/>
      </w:pPr>
      <w:r>
        <w:t>Низкий средний процент этого задания показывает, что у многих участников ЕГЭ существуют пробелы в знаниях химических свойств неорганических веществ.</w:t>
      </w:r>
    </w:p>
    <w:p w:rsidR="00490A14" w:rsidRDefault="00490A14" w:rsidP="00490A14">
      <w:pPr>
        <w:ind w:firstLine="709"/>
        <w:contextualSpacing/>
        <w:jc w:val="both"/>
      </w:pPr>
      <w:r w:rsidRPr="00AC1E64">
        <w:rPr>
          <w:noProof/>
        </w:rPr>
        <w:drawing>
          <wp:inline distT="0" distB="0" distL="0" distR="0" wp14:anchorId="6BEEBB17" wp14:editId="408C5BCA">
            <wp:extent cx="4785360" cy="2026920"/>
            <wp:effectExtent l="0" t="0" r="0" b="0"/>
            <wp:docPr id="214566450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66450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07338" cy="2036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 w:rsidRPr="00416565">
        <w:rPr>
          <w:b/>
          <w:bCs/>
        </w:rPr>
        <w:t>Задание 24</w:t>
      </w:r>
      <w:r w:rsidRPr="00065303">
        <w:t xml:space="preserve"> контролирует знание качественных реакций в </w:t>
      </w:r>
      <w:r>
        <w:t>не</w:t>
      </w:r>
      <w:r w:rsidRPr="00065303">
        <w:t xml:space="preserve">органической химии. В процессе обучения надо больше внимания уделять качественным реакциям, позволяющим различать или идентифицировать вещества, что имеет огромное значение для аналитической химии. </w:t>
      </w:r>
    </w:p>
    <w:p w:rsidR="00490A14" w:rsidRDefault="00490A14" w:rsidP="00490A14">
      <w:pPr>
        <w:ind w:firstLine="709"/>
        <w:contextualSpacing/>
        <w:jc w:val="both"/>
      </w:pPr>
      <w:r w:rsidRPr="00416565">
        <w:rPr>
          <w:noProof/>
        </w:rPr>
        <w:drawing>
          <wp:inline distT="0" distB="0" distL="0" distR="0" wp14:anchorId="63AA26BA" wp14:editId="119C9F51">
            <wp:extent cx="5763429" cy="2991267"/>
            <wp:effectExtent l="0" t="0" r="8890" b="0"/>
            <wp:docPr id="9425298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52982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2991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A14" w:rsidRDefault="00490A14" w:rsidP="00490A14">
      <w:pPr>
        <w:ind w:firstLine="709"/>
        <w:contextualSpacing/>
        <w:jc w:val="both"/>
      </w:pPr>
      <w:r w:rsidRPr="00065303">
        <w:t>Низкий процент выполнения задания 24</w:t>
      </w:r>
      <w:r w:rsidR="00C703B7">
        <w:t>,</w:t>
      </w:r>
      <w:r w:rsidRPr="00065303">
        <w:t xml:space="preserve"> связанного с умением выполнять химический эксперимент и видеть очевидный результат. Возможно отсутствие возможностей школьных лабораторий определил такой низкий результат выполнения задания. Обратить внимание на оснащённость кабинетов химии лабораториями и их функционированием. </w:t>
      </w:r>
    </w:p>
    <w:p w:rsidR="00490A14" w:rsidRDefault="00490A14" w:rsidP="00490A14">
      <w:pPr>
        <w:ind w:firstLine="709"/>
        <w:contextualSpacing/>
        <w:jc w:val="both"/>
      </w:pPr>
      <w:r w:rsidRPr="00065303">
        <w:t xml:space="preserve">Из материалов статистического </w:t>
      </w:r>
      <w:r w:rsidRPr="00416565">
        <w:rPr>
          <w:u w:val="single"/>
        </w:rPr>
        <w:t>анализа результатов выполнения заданий высокого уровня ЕГЭ 202</w:t>
      </w:r>
      <w:r>
        <w:rPr>
          <w:u w:val="single"/>
        </w:rPr>
        <w:t>4</w:t>
      </w:r>
      <w:r w:rsidRPr="00065303">
        <w:t xml:space="preserve"> г. следует, что средний процент выполнения всех заданий ниже 50, а задания 34 – ниже 15 для всех участников ЕГЭ. С этим заданием вообще не справились участники группы не преодолевших минимальный балл. </w:t>
      </w:r>
      <w:r>
        <w:t>Оставшиеся 3 группы участников только по заданию 34 имеют процент выполнения меньше 15.</w:t>
      </w:r>
    </w:p>
    <w:p w:rsidR="00490A14" w:rsidRDefault="00490A14" w:rsidP="00490A14">
      <w:pPr>
        <w:ind w:firstLine="709"/>
        <w:contextualSpacing/>
        <w:jc w:val="both"/>
      </w:pPr>
      <w:r w:rsidRPr="00D260DF">
        <w:rPr>
          <w:b/>
          <w:bCs/>
        </w:rPr>
        <w:t>Задания 34</w:t>
      </w:r>
      <w:r w:rsidRPr="00065303">
        <w:t xml:space="preserve">, контролирующие знания взаимосвязи химических соединений, умение логически мыслить и проводить различные расчёты, традиционно самые трудные задания. Задачи подобны олимпиадным, требуют серьёзной логической работы, знаний по математике явно не базового уровня, большого количества вычислений и времени гораздо больше, чем указано в Спецификации. В этих задачах требовалось применить не только знания по химии, но и метапредметные умения по определению математической зависимости между физико-химическими величинами, составлению и решению математических уравнений или даже системы уравнений. Многие экзаменуемые и не приступали к решению этих заданий. </w:t>
      </w:r>
    </w:p>
    <w:p w:rsidR="00490A14" w:rsidRDefault="00490A14" w:rsidP="00490A14">
      <w:pPr>
        <w:ind w:firstLine="709"/>
        <w:contextualSpacing/>
        <w:jc w:val="both"/>
      </w:pPr>
      <w:r w:rsidRPr="00D260DF">
        <w:rPr>
          <w:noProof/>
        </w:rPr>
        <w:drawing>
          <wp:inline distT="0" distB="0" distL="0" distR="0" wp14:anchorId="40988F90" wp14:editId="37C85670">
            <wp:extent cx="5734850" cy="1714739"/>
            <wp:effectExtent l="0" t="0" r="0" b="0"/>
            <wp:docPr id="7429150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91508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4850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4ED" w:rsidRDefault="00490A14" w:rsidP="00C703B7">
      <w:pPr>
        <w:ind w:firstLine="709"/>
        <w:contextualSpacing/>
        <w:jc w:val="both"/>
      </w:pPr>
      <w:r w:rsidRPr="00065303">
        <w:t xml:space="preserve">К снижению оценок вели ошибки, связанные с неверной записью уравнений реакции, небрежной записью «дано», с ошибками в расчётах или указании единиц измерения величин, отсутствием демонстрации логически обоснованной взаимосвязи физических величин, на основании которой проведены верные расчёты и получен ответ. Это говорит о непонимании взаимосвязи между величинами, наличии проблем в математической подготовке. </w:t>
      </w:r>
      <w:bookmarkStart w:id="1" w:name="_GoBack"/>
      <w:bookmarkEnd w:id="0"/>
      <w:bookmarkEnd w:id="1"/>
    </w:p>
    <w:sectPr w:rsidR="005C1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622FE"/>
    <w:multiLevelType w:val="multilevel"/>
    <w:tmpl w:val="06961EE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6D5F16C9"/>
    <w:multiLevelType w:val="multilevel"/>
    <w:tmpl w:val="0A5A6BC6"/>
    <w:lvl w:ilvl="0">
      <w:start w:val="2"/>
      <w:numFmt w:val="decimal"/>
      <w:suff w:val="space"/>
      <w:lvlText w:val="Глава %1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4ED"/>
    <w:rsid w:val="001F5D5E"/>
    <w:rsid w:val="002872ED"/>
    <w:rsid w:val="00360AE3"/>
    <w:rsid w:val="00442037"/>
    <w:rsid w:val="00490A14"/>
    <w:rsid w:val="005C14ED"/>
    <w:rsid w:val="00C703B7"/>
    <w:rsid w:val="00F119DC"/>
    <w:rsid w:val="00F2134A"/>
    <w:rsid w:val="00F70082"/>
    <w:rsid w:val="00F8744F"/>
    <w:rsid w:val="00FB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2C762"/>
  <w15:docId w15:val="{5627CC5B-C9EE-461A-AF8A-AFAD651E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ED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5C14ED"/>
    <w:pPr>
      <w:keepNext/>
      <w:keepLines/>
      <w:numPr>
        <w:ilvl w:val="1"/>
        <w:numId w:val="1"/>
      </w:numPr>
      <w:spacing w:before="40"/>
      <w:outlineLvl w:val="1"/>
    </w:pPr>
    <w:rPr>
      <w:rFonts w:ascii="Cambria" w:eastAsia="SimSun" w:hAnsi="Cambria"/>
      <w:color w:val="365F91"/>
      <w:sz w:val="26"/>
      <w:szCs w:val="26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5C14ED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/>
      <w:b/>
      <w:bCs/>
      <w:sz w:val="28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4ED"/>
    <w:pPr>
      <w:keepNext/>
      <w:keepLines/>
      <w:numPr>
        <w:ilvl w:val="3"/>
        <w:numId w:val="1"/>
      </w:numPr>
      <w:spacing w:before="40"/>
      <w:outlineLvl w:val="3"/>
    </w:pPr>
    <w:rPr>
      <w:rFonts w:ascii="Cambria" w:eastAsia="SimSun" w:hAnsi="Cambria"/>
      <w:i/>
      <w:iCs/>
      <w:color w:val="365F91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4ED"/>
    <w:pPr>
      <w:keepNext/>
      <w:keepLines/>
      <w:numPr>
        <w:ilvl w:val="4"/>
        <w:numId w:val="1"/>
      </w:numPr>
      <w:spacing w:before="40"/>
      <w:outlineLvl w:val="4"/>
    </w:pPr>
    <w:rPr>
      <w:rFonts w:ascii="Cambria" w:eastAsia="SimSun" w:hAnsi="Cambria"/>
      <w:color w:val="365F91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4ED"/>
    <w:pPr>
      <w:keepNext/>
      <w:keepLines/>
      <w:numPr>
        <w:ilvl w:val="5"/>
        <w:numId w:val="1"/>
      </w:numPr>
      <w:spacing w:before="40"/>
      <w:outlineLvl w:val="5"/>
    </w:pPr>
    <w:rPr>
      <w:rFonts w:ascii="Cambria" w:eastAsia="SimSun" w:hAnsi="Cambria"/>
      <w:color w:val="243F60"/>
      <w:lang w:val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4ED"/>
    <w:pPr>
      <w:keepNext/>
      <w:keepLines/>
      <w:numPr>
        <w:ilvl w:val="6"/>
        <w:numId w:val="1"/>
      </w:numPr>
      <w:spacing w:before="40"/>
      <w:outlineLvl w:val="6"/>
    </w:pPr>
    <w:rPr>
      <w:rFonts w:ascii="Cambria" w:eastAsia="SimSun" w:hAnsi="Cambria"/>
      <w:i/>
      <w:iCs/>
      <w:color w:val="243F60"/>
      <w:lang w:val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4ED"/>
    <w:pPr>
      <w:keepNext/>
      <w:keepLines/>
      <w:numPr>
        <w:ilvl w:val="7"/>
        <w:numId w:val="1"/>
      </w:numPr>
      <w:spacing w:before="40"/>
      <w:outlineLvl w:val="7"/>
    </w:pPr>
    <w:rPr>
      <w:rFonts w:ascii="Cambria" w:eastAsia="SimSun" w:hAnsi="Cambria"/>
      <w:color w:val="272727"/>
      <w:sz w:val="21"/>
      <w:szCs w:val="21"/>
      <w:lang w:val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4ED"/>
    <w:pPr>
      <w:keepNext/>
      <w:keepLines/>
      <w:numPr>
        <w:ilvl w:val="8"/>
        <w:numId w:val="1"/>
      </w:numPr>
      <w:spacing w:before="40"/>
      <w:outlineLvl w:val="8"/>
    </w:pPr>
    <w:rPr>
      <w:rFonts w:ascii="Cambria" w:eastAsia="SimSun" w:hAnsi="Cambria"/>
      <w:i/>
      <w:iCs/>
      <w:color w:val="272727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14ED"/>
    <w:rPr>
      <w:rFonts w:ascii="Cambria" w:eastAsia="SimSun" w:hAnsi="Cambria" w:cs="Times New Roman"/>
      <w:color w:val="365F91"/>
      <w:kern w:val="0"/>
      <w:sz w:val="26"/>
      <w:szCs w:val="26"/>
      <w:lang w:val="x-none"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5C14ED"/>
    <w:rPr>
      <w:rFonts w:ascii="Cambria" w:eastAsia="SimSun" w:hAnsi="Cambria" w:cs="Times New Roman"/>
      <w:b/>
      <w:bCs/>
      <w:kern w:val="0"/>
      <w:sz w:val="28"/>
      <w:szCs w:val="24"/>
      <w:lang w:val="x-none"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5C14ED"/>
    <w:rPr>
      <w:rFonts w:ascii="Cambria" w:eastAsia="SimSun" w:hAnsi="Cambria" w:cs="Times New Roman"/>
      <w:i/>
      <w:iCs/>
      <w:color w:val="365F91"/>
      <w:kern w:val="0"/>
      <w:sz w:val="24"/>
      <w:szCs w:val="24"/>
      <w:lang w:val="x-none"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5C14ED"/>
    <w:rPr>
      <w:rFonts w:ascii="Cambria" w:eastAsia="SimSun" w:hAnsi="Cambria" w:cs="Times New Roman"/>
      <w:color w:val="365F91"/>
      <w:kern w:val="0"/>
      <w:sz w:val="24"/>
      <w:szCs w:val="24"/>
      <w:lang w:val="x-none"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5C14ED"/>
    <w:rPr>
      <w:rFonts w:ascii="Cambria" w:eastAsia="SimSun" w:hAnsi="Cambria" w:cs="Times New Roman"/>
      <w:color w:val="243F60"/>
      <w:kern w:val="0"/>
      <w:sz w:val="24"/>
      <w:szCs w:val="24"/>
      <w:lang w:val="x-none"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5C14ED"/>
    <w:rPr>
      <w:rFonts w:ascii="Cambria" w:eastAsia="SimSun" w:hAnsi="Cambria" w:cs="Times New Roman"/>
      <w:i/>
      <w:iCs/>
      <w:color w:val="243F60"/>
      <w:kern w:val="0"/>
      <w:sz w:val="24"/>
      <w:szCs w:val="24"/>
      <w:lang w:val="x-none"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5C14ED"/>
    <w:rPr>
      <w:rFonts w:ascii="Cambria" w:eastAsia="SimSun" w:hAnsi="Cambria" w:cs="Times New Roman"/>
      <w:color w:val="272727"/>
      <w:kern w:val="0"/>
      <w:sz w:val="21"/>
      <w:szCs w:val="21"/>
      <w:lang w:val="x-none"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5C14ED"/>
    <w:rPr>
      <w:rFonts w:ascii="Cambria" w:eastAsia="SimSun" w:hAnsi="Cambria" w:cs="Times New Roman"/>
      <w:i/>
      <w:iCs/>
      <w:color w:val="272727"/>
      <w:kern w:val="0"/>
      <w:sz w:val="21"/>
      <w:szCs w:val="21"/>
      <w:lang w:val="x-none" w:eastAsia="ru-RU"/>
      <w14:ligatures w14:val="none"/>
    </w:rPr>
  </w:style>
  <w:style w:type="paragraph" w:styleId="a3">
    <w:name w:val="List Paragraph"/>
    <w:basedOn w:val="a"/>
    <w:uiPriority w:val="34"/>
    <w:qFormat/>
    <w:rsid w:val="00F874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0A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AE3"/>
    <w:rPr>
      <w:rFonts w:ascii="Tahoma" w:eastAsia="Calibri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image" Target="media/image1.png"/><Relationship Id="rId5" Type="http://schemas.openxmlformats.org/officeDocument/2006/relationships/chart" Target="charts/chart1.xml"/><Relationship Id="rId15" Type="http://schemas.openxmlformats.org/officeDocument/2006/relationships/image" Target="media/image5.png"/><Relationship Id="rId10" Type="http://schemas.openxmlformats.org/officeDocument/2006/relationships/chart" Target="charts/chart6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ap\Desktop\&#1054;&#1090;&#1095;&#1077;&#1090;%20&#1045;&#1043;&#1069;\&#1076;&#1080;&#1072;&#1075;&#1088;&#1072;&#1084;&#1084;&#1072;%20&#1089;&#1088;&#1077;&#1076;&#1085;&#1080;&#1081;%20&#1087;&#1088;&#1086;&#1094;&#1077;&#1085;&#1090;%20&#1087;&#1086;%20&#1079;&#1072;&#1076;&#1072;&#1085;&#1080;&#1103;&#1084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ap\Desktop\&#1054;&#1090;&#1095;&#1077;&#1090;%20&#1045;&#1043;&#1069;\&#1076;&#1080;&#1072;&#1075;&#1088;&#1072;&#1084;&#1084;&#1072;%20&#1089;&#1088;&#1077;&#1076;&#1085;&#1080;&#1081;%20&#1087;&#1088;&#1086;&#1094;&#1077;&#1085;&#1090;%20&#1087;&#1086;%20&#1079;&#1072;&#1076;&#1072;&#1085;&#1080;&#1103;&#1084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ap\Desktop\&#1054;&#1090;&#1095;&#1077;&#1090;%20&#1045;&#1043;&#1069;\&#1076;&#1080;&#1072;&#1075;&#1088;&#1072;&#1084;&#1084;&#1072;%20&#1089;&#1088;&#1077;&#1076;&#1085;&#1080;&#1081;%20&#1087;&#1088;&#1086;&#1094;&#1077;&#1085;&#1090;%20&#1087;&#1086;%20&#1079;&#1072;&#1076;&#1072;&#1085;&#1080;&#1103;&#1084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leap\Desktop\&#1054;&#1090;&#1095;&#1077;&#1090;%20&#1045;&#1043;&#1069;\&#1076;&#1080;&#1072;&#1075;&#1088;&#1072;&#1084;&#1084;&#1072;%20&#1089;&#1088;&#1077;&#1076;&#1085;&#1080;&#1081;%20&#1087;&#1088;&#1086;&#1094;&#1077;&#1085;&#1090;%20&#1087;&#1086;%20&#1079;&#1072;&#1076;&#1072;&#1085;&#1080;&#1103;&#1084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5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2000" b="0" i="0" u="none" strike="noStrike" cap="none" normalizeH="0" baseline="0">
                <a:effectLst/>
              </a:rPr>
              <a:t>Изменения количества участников ЕГЭ по химии в Ненецком автономном округе </a:t>
            </a:r>
            <a:endParaRPr lang="ru-RU" sz="2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3073967969872244"/>
          <c:y val="2.777777777777777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20</c:v>
                </c:pt>
                <c:pt idx="1">
                  <c:v>17</c:v>
                </c:pt>
                <c:pt idx="2">
                  <c:v>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A26-4D7E-A7E0-481CE3A325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overlap val="25"/>
        <c:axId val="116384896"/>
        <c:axId val="116386816"/>
      </c:barChart>
      <c:catAx>
        <c:axId val="1163848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cap="none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200" b="1" cap="none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Год проведения экзамена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cap="none" spc="2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6386816"/>
        <c:crosses val="autoZero"/>
        <c:auto val="1"/>
        <c:lblAlgn val="ctr"/>
        <c:lblOffset val="100"/>
        <c:noMultiLvlLbl val="0"/>
      </c:catAx>
      <c:valAx>
        <c:axId val="116386816"/>
        <c:scaling>
          <c:orientation val="minMax"/>
          <c:max val="3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cap="none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200" b="1" cap="none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Количество участников ЕГЭ</a:t>
                </a:r>
              </a:p>
            </c:rich>
          </c:tx>
          <c:layout>
            <c:manualLayout>
              <c:xMode val="edge"/>
              <c:yMode val="edge"/>
              <c:x val="2.3456658492376586E-2"/>
              <c:y val="0.1078818399732553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63848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Результаты ЕГЭ по предмету Химия за последние</a:t>
            </a:r>
            <a:r>
              <a:rPr lang="ru-RU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3 года</a:t>
            </a: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   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1.2827365045430252E-2"/>
                  <c:y val="1.186591515870656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4EA5-474B-9CF3-31683202C7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ниже минимального балла , %</c:v>
                </c:pt>
                <c:pt idx="1">
                  <c:v>от минимального балла до 60 баллов, %</c:v>
                </c:pt>
                <c:pt idx="2">
                  <c:v>от 61 до 80 баллов, %</c:v>
                </c:pt>
                <c:pt idx="3">
                  <c:v>от 81 до 100 баллов, %</c:v>
                </c:pt>
                <c:pt idx="4">
                  <c:v>Средний тестовый балл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5"/>
                <c:pt idx="0">
                  <c:v>30</c:v>
                </c:pt>
                <c:pt idx="1">
                  <c:v>20</c:v>
                </c:pt>
                <c:pt idx="2">
                  <c:v>30</c:v>
                </c:pt>
                <c:pt idx="3">
                  <c:v>20</c:v>
                </c:pt>
                <c:pt idx="4" formatCode="0">
                  <c:v>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EA5-474B-9CF3-31683202C70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ниже минимального балла , %</c:v>
                </c:pt>
                <c:pt idx="1">
                  <c:v>от минимального балла до 60 баллов, %</c:v>
                </c:pt>
                <c:pt idx="2">
                  <c:v>от 61 до 80 баллов, %</c:v>
                </c:pt>
                <c:pt idx="3">
                  <c:v>от 81 до 100 баллов, %</c:v>
                </c:pt>
                <c:pt idx="4">
                  <c:v>Средний тестовый балл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17.649999999999999</c:v>
                </c:pt>
                <c:pt idx="1">
                  <c:v>47.06</c:v>
                </c:pt>
                <c:pt idx="2">
                  <c:v>29.41</c:v>
                </c:pt>
                <c:pt idx="3">
                  <c:v>5.88</c:v>
                </c:pt>
                <c:pt idx="4">
                  <c:v>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EA5-474B-9CF3-31683202C70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8.5515766969535001E-3"/>
                  <c:y val="5.932957579353252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EA5-474B-9CF3-31683202C70F}"/>
                </c:ext>
              </c:extLst>
            </c:dLbl>
            <c:dLbl>
              <c:idx val="1"/>
              <c:layout>
                <c:manualLayout>
                  <c:x val="4.275788348476672E-3"/>
                  <c:y val="1.77988727380599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4EA5-474B-9CF3-31683202C70F}"/>
                </c:ext>
              </c:extLst>
            </c:dLbl>
            <c:dLbl>
              <c:idx val="2"/>
              <c:layout>
                <c:manualLayout>
                  <c:x val="4.27578834847675E-3"/>
                  <c:y val="1.77988727380599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4EA5-474B-9CF3-31683202C7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ниже минимального балла , %</c:v>
                </c:pt>
                <c:pt idx="1">
                  <c:v>от минимального балла до 60 баллов, %</c:v>
                </c:pt>
                <c:pt idx="2">
                  <c:v>от 61 до 80 баллов, %</c:v>
                </c:pt>
                <c:pt idx="3">
                  <c:v>от 81 до 100 баллов, %</c:v>
                </c:pt>
                <c:pt idx="4">
                  <c:v>Средний тестовый балл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17.239999999999998</c:v>
                </c:pt>
                <c:pt idx="1">
                  <c:v>44.83</c:v>
                </c:pt>
                <c:pt idx="2">
                  <c:v>27.59</c:v>
                </c:pt>
                <c:pt idx="3">
                  <c:v>10.34</c:v>
                </c:pt>
                <c:pt idx="4">
                  <c:v>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EA5-474B-9CF3-31683202C7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6352128"/>
        <c:axId val="116353664"/>
      </c:barChart>
      <c:catAx>
        <c:axId val="116352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6353664"/>
        <c:crosses val="autoZero"/>
        <c:auto val="1"/>
        <c:lblAlgn val="ctr"/>
        <c:lblOffset val="100"/>
        <c:noMultiLvlLbl val="0"/>
      </c:catAx>
      <c:valAx>
        <c:axId val="116353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6352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Процент выполнения задания базового уровня в Ненецком автономном округе в группах участников экзамена с разными уровнями подготовки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База!$B$1</c:f>
              <c:strCache>
                <c:ptCount val="1"/>
                <c:pt idx="0">
                  <c:v>среднее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База!$A$2:$A$18</c:f>
              <c:strCache>
                <c:ptCount val="17"/>
                <c:pt idx="0">
                  <c:v>1          Б</c:v>
                </c:pt>
                <c:pt idx="1">
                  <c:v>2          Б</c:v>
                </c:pt>
                <c:pt idx="2">
                  <c:v>3          Б</c:v>
                </c:pt>
                <c:pt idx="3">
                  <c:v>4          Б</c:v>
                </c:pt>
                <c:pt idx="4">
                  <c:v>5          Б</c:v>
                </c:pt>
                <c:pt idx="5">
                  <c:v>10         Б</c:v>
                </c:pt>
                <c:pt idx="6">
                  <c:v>11         Б</c:v>
                </c:pt>
                <c:pt idx="7">
                  <c:v>13         Б</c:v>
                </c:pt>
                <c:pt idx="8">
                  <c:v>17         Б</c:v>
                </c:pt>
                <c:pt idx="9">
                  <c:v>18        Б</c:v>
                </c:pt>
                <c:pt idx="10">
                  <c:v>19        Б</c:v>
                </c:pt>
                <c:pt idx="11">
                  <c:v>20        Б</c:v>
                </c:pt>
                <c:pt idx="12">
                  <c:v>21        Б</c:v>
                </c:pt>
                <c:pt idx="13">
                  <c:v>25        Б</c:v>
                </c:pt>
                <c:pt idx="14">
                  <c:v>26        Б</c:v>
                </c:pt>
                <c:pt idx="15">
                  <c:v>27        Б</c:v>
                </c:pt>
                <c:pt idx="16">
                  <c:v>28        Б</c:v>
                </c:pt>
              </c:strCache>
            </c:strRef>
          </c:cat>
          <c:val>
            <c:numRef>
              <c:f>База!$B$2:$B$18</c:f>
              <c:numCache>
                <c:formatCode>0.0</c:formatCode>
                <c:ptCount val="17"/>
                <c:pt idx="0">
                  <c:v>79.310344827586206</c:v>
                </c:pt>
                <c:pt idx="1">
                  <c:v>89.65517241379311</c:v>
                </c:pt>
                <c:pt idx="2">
                  <c:v>62.068965517241381</c:v>
                </c:pt>
                <c:pt idx="3">
                  <c:v>48.275862068965516</c:v>
                </c:pt>
                <c:pt idx="4">
                  <c:v>62.068965517241381</c:v>
                </c:pt>
                <c:pt idx="5">
                  <c:v>58.620689655172406</c:v>
                </c:pt>
                <c:pt idx="6">
                  <c:v>51.724137931034484</c:v>
                </c:pt>
                <c:pt idx="7">
                  <c:v>31.03448275862069</c:v>
                </c:pt>
                <c:pt idx="8">
                  <c:v>34.482758620689658</c:v>
                </c:pt>
                <c:pt idx="9">
                  <c:v>68.965517241379317</c:v>
                </c:pt>
                <c:pt idx="10">
                  <c:v>75.862068965517238</c:v>
                </c:pt>
                <c:pt idx="11">
                  <c:v>86.206896551724128</c:v>
                </c:pt>
                <c:pt idx="12">
                  <c:v>68.965517241379317</c:v>
                </c:pt>
                <c:pt idx="13">
                  <c:v>44.827586206896555</c:v>
                </c:pt>
                <c:pt idx="14">
                  <c:v>72.41379310344827</c:v>
                </c:pt>
                <c:pt idx="15">
                  <c:v>68.965517241379317</c:v>
                </c:pt>
                <c:pt idx="16">
                  <c:v>34.482758620689658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C38-4255-8DF2-CA3BF9838368}"/>
            </c:ext>
          </c:extLst>
        </c:ser>
        <c:ser>
          <c:idx val="1"/>
          <c:order val="1"/>
          <c:tx>
            <c:strRef>
              <c:f>База!$C$1</c:f>
              <c:strCache>
                <c:ptCount val="1"/>
                <c:pt idx="0">
                  <c:v>ниже минимального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База!$A$2:$A$18</c:f>
              <c:strCache>
                <c:ptCount val="17"/>
                <c:pt idx="0">
                  <c:v>1          Б</c:v>
                </c:pt>
                <c:pt idx="1">
                  <c:v>2          Б</c:v>
                </c:pt>
                <c:pt idx="2">
                  <c:v>3          Б</c:v>
                </c:pt>
                <c:pt idx="3">
                  <c:v>4          Б</c:v>
                </c:pt>
                <c:pt idx="4">
                  <c:v>5          Б</c:v>
                </c:pt>
                <c:pt idx="5">
                  <c:v>10         Б</c:v>
                </c:pt>
                <c:pt idx="6">
                  <c:v>11         Б</c:v>
                </c:pt>
                <c:pt idx="7">
                  <c:v>13         Б</c:v>
                </c:pt>
                <c:pt idx="8">
                  <c:v>17         Б</c:v>
                </c:pt>
                <c:pt idx="9">
                  <c:v>18        Б</c:v>
                </c:pt>
                <c:pt idx="10">
                  <c:v>19        Б</c:v>
                </c:pt>
                <c:pt idx="11">
                  <c:v>20        Б</c:v>
                </c:pt>
                <c:pt idx="12">
                  <c:v>21        Б</c:v>
                </c:pt>
                <c:pt idx="13">
                  <c:v>25        Б</c:v>
                </c:pt>
                <c:pt idx="14">
                  <c:v>26        Б</c:v>
                </c:pt>
                <c:pt idx="15">
                  <c:v>27        Б</c:v>
                </c:pt>
                <c:pt idx="16">
                  <c:v>28        Б</c:v>
                </c:pt>
              </c:strCache>
            </c:strRef>
          </c:cat>
          <c:val>
            <c:numRef>
              <c:f>База!$C$2:$C$18</c:f>
              <c:numCache>
                <c:formatCode>0.0</c:formatCode>
                <c:ptCount val="17"/>
                <c:pt idx="0">
                  <c:v>80</c:v>
                </c:pt>
                <c:pt idx="1">
                  <c:v>40</c:v>
                </c:pt>
                <c:pt idx="2">
                  <c:v>0</c:v>
                </c:pt>
                <c:pt idx="3">
                  <c:v>20</c:v>
                </c:pt>
                <c:pt idx="4">
                  <c:v>20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20</c:v>
                </c:pt>
                <c:pt idx="10">
                  <c:v>20</c:v>
                </c:pt>
                <c:pt idx="11">
                  <c:v>20</c:v>
                </c:pt>
                <c:pt idx="12">
                  <c:v>0</c:v>
                </c:pt>
                <c:pt idx="13">
                  <c:v>40</c:v>
                </c:pt>
                <c:pt idx="14">
                  <c:v>60</c:v>
                </c:pt>
                <c:pt idx="15">
                  <c:v>20</c:v>
                </c:pt>
                <c:pt idx="16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C38-4255-8DF2-CA3BF9838368}"/>
            </c:ext>
          </c:extLst>
        </c:ser>
        <c:ser>
          <c:idx val="2"/>
          <c:order val="2"/>
          <c:tx>
            <c:strRef>
              <c:f>База!$D$1</c:f>
              <c:strCache>
                <c:ptCount val="1"/>
                <c:pt idx="0">
                  <c:v>от минимального до 60 баллов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База!$A$2:$A$18</c:f>
              <c:strCache>
                <c:ptCount val="17"/>
                <c:pt idx="0">
                  <c:v>1          Б</c:v>
                </c:pt>
                <c:pt idx="1">
                  <c:v>2          Б</c:v>
                </c:pt>
                <c:pt idx="2">
                  <c:v>3          Б</c:v>
                </c:pt>
                <c:pt idx="3">
                  <c:v>4          Б</c:v>
                </c:pt>
                <c:pt idx="4">
                  <c:v>5          Б</c:v>
                </c:pt>
                <c:pt idx="5">
                  <c:v>10         Б</c:v>
                </c:pt>
                <c:pt idx="6">
                  <c:v>11         Б</c:v>
                </c:pt>
                <c:pt idx="7">
                  <c:v>13         Б</c:v>
                </c:pt>
                <c:pt idx="8">
                  <c:v>17         Б</c:v>
                </c:pt>
                <c:pt idx="9">
                  <c:v>18        Б</c:v>
                </c:pt>
                <c:pt idx="10">
                  <c:v>19        Б</c:v>
                </c:pt>
                <c:pt idx="11">
                  <c:v>20        Б</c:v>
                </c:pt>
                <c:pt idx="12">
                  <c:v>21        Б</c:v>
                </c:pt>
                <c:pt idx="13">
                  <c:v>25        Б</c:v>
                </c:pt>
                <c:pt idx="14">
                  <c:v>26        Б</c:v>
                </c:pt>
                <c:pt idx="15">
                  <c:v>27        Б</c:v>
                </c:pt>
                <c:pt idx="16">
                  <c:v>28        Б</c:v>
                </c:pt>
              </c:strCache>
            </c:strRef>
          </c:cat>
          <c:val>
            <c:numRef>
              <c:f>База!$D$2:$D$18</c:f>
              <c:numCache>
                <c:formatCode>0.0</c:formatCode>
                <c:ptCount val="17"/>
                <c:pt idx="0">
                  <c:v>76.923076923076934</c:v>
                </c:pt>
                <c:pt idx="1">
                  <c:v>100</c:v>
                </c:pt>
                <c:pt idx="2">
                  <c:v>69.230769230769226</c:v>
                </c:pt>
                <c:pt idx="3">
                  <c:v>15.384615384615385</c:v>
                </c:pt>
                <c:pt idx="4">
                  <c:v>53.846153846153847</c:v>
                </c:pt>
                <c:pt idx="5">
                  <c:v>53.846153846153847</c:v>
                </c:pt>
                <c:pt idx="6">
                  <c:v>30.76923076923077</c:v>
                </c:pt>
                <c:pt idx="7">
                  <c:v>23.076923076923077</c:v>
                </c:pt>
                <c:pt idx="8">
                  <c:v>38.461538461538467</c:v>
                </c:pt>
                <c:pt idx="9">
                  <c:v>69.230769230769226</c:v>
                </c:pt>
                <c:pt idx="10">
                  <c:v>76.923076923076934</c:v>
                </c:pt>
                <c:pt idx="11">
                  <c:v>100</c:v>
                </c:pt>
                <c:pt idx="12">
                  <c:v>69.230769230769226</c:v>
                </c:pt>
                <c:pt idx="13">
                  <c:v>53.846153846153847</c:v>
                </c:pt>
                <c:pt idx="14">
                  <c:v>53.846153846153847</c:v>
                </c:pt>
                <c:pt idx="15">
                  <c:v>76.923076923076934</c:v>
                </c:pt>
                <c:pt idx="16">
                  <c:v>7.6923076923076925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C38-4255-8DF2-CA3BF9838368}"/>
            </c:ext>
          </c:extLst>
        </c:ser>
        <c:ser>
          <c:idx val="3"/>
          <c:order val="3"/>
          <c:tx>
            <c:strRef>
              <c:f>База!$E$1</c:f>
              <c:strCache>
                <c:ptCount val="1"/>
                <c:pt idx="0">
                  <c:v>от 61 до 80 баллов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База!$A$2:$A$18</c:f>
              <c:strCache>
                <c:ptCount val="17"/>
                <c:pt idx="0">
                  <c:v>1          Б</c:v>
                </c:pt>
                <c:pt idx="1">
                  <c:v>2          Б</c:v>
                </c:pt>
                <c:pt idx="2">
                  <c:v>3          Б</c:v>
                </c:pt>
                <c:pt idx="3">
                  <c:v>4          Б</c:v>
                </c:pt>
                <c:pt idx="4">
                  <c:v>5          Б</c:v>
                </c:pt>
                <c:pt idx="5">
                  <c:v>10         Б</c:v>
                </c:pt>
                <c:pt idx="6">
                  <c:v>11         Б</c:v>
                </c:pt>
                <c:pt idx="7">
                  <c:v>13         Б</c:v>
                </c:pt>
                <c:pt idx="8">
                  <c:v>17         Б</c:v>
                </c:pt>
                <c:pt idx="9">
                  <c:v>18        Б</c:v>
                </c:pt>
                <c:pt idx="10">
                  <c:v>19        Б</c:v>
                </c:pt>
                <c:pt idx="11">
                  <c:v>20        Б</c:v>
                </c:pt>
                <c:pt idx="12">
                  <c:v>21        Б</c:v>
                </c:pt>
                <c:pt idx="13">
                  <c:v>25        Б</c:v>
                </c:pt>
                <c:pt idx="14">
                  <c:v>26        Б</c:v>
                </c:pt>
                <c:pt idx="15">
                  <c:v>27        Б</c:v>
                </c:pt>
                <c:pt idx="16">
                  <c:v>28        Б</c:v>
                </c:pt>
              </c:strCache>
            </c:strRef>
          </c:cat>
          <c:val>
            <c:numRef>
              <c:f>База!$E$2:$E$18</c:f>
              <c:numCache>
                <c:formatCode>0.0</c:formatCode>
                <c:ptCount val="17"/>
                <c:pt idx="0">
                  <c:v>37.5</c:v>
                </c:pt>
                <c:pt idx="1">
                  <c:v>50</c:v>
                </c:pt>
                <c:pt idx="2">
                  <c:v>37.5</c:v>
                </c:pt>
                <c:pt idx="3">
                  <c:v>50</c:v>
                </c:pt>
                <c:pt idx="4">
                  <c:v>43.75</c:v>
                </c:pt>
                <c:pt idx="5">
                  <c:v>43.75</c:v>
                </c:pt>
                <c:pt idx="6">
                  <c:v>50</c:v>
                </c:pt>
                <c:pt idx="7">
                  <c:v>18.75</c:v>
                </c:pt>
                <c:pt idx="8">
                  <c:v>18.75</c:v>
                </c:pt>
                <c:pt idx="9">
                  <c:v>43.75</c:v>
                </c:pt>
                <c:pt idx="10">
                  <c:v>50</c:v>
                </c:pt>
                <c:pt idx="11">
                  <c:v>50</c:v>
                </c:pt>
                <c:pt idx="12">
                  <c:v>50</c:v>
                </c:pt>
                <c:pt idx="13">
                  <c:v>12.5</c:v>
                </c:pt>
                <c:pt idx="14">
                  <c:v>50</c:v>
                </c:pt>
                <c:pt idx="15">
                  <c:v>37.5</c:v>
                </c:pt>
                <c:pt idx="16">
                  <c:v>37.5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C38-4255-8DF2-CA3BF9838368}"/>
            </c:ext>
          </c:extLst>
        </c:ser>
        <c:ser>
          <c:idx val="4"/>
          <c:order val="4"/>
          <c:tx>
            <c:strRef>
              <c:f>База!$F$1</c:f>
              <c:strCache>
                <c:ptCount val="1"/>
                <c:pt idx="0">
                  <c:v>от 81 до 100 баллов</c:v>
                </c:pt>
              </c:strCache>
            </c:strRef>
          </c:tx>
          <c:spPr>
            <a:ln w="2222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  <a:lumOff val="40000"/>
                </a:schemeClr>
              </a:solidFill>
              <a:ln w="317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cat>
            <c:strRef>
              <c:f>База!$A$2:$A$18</c:f>
              <c:strCache>
                <c:ptCount val="17"/>
                <c:pt idx="0">
                  <c:v>1          Б</c:v>
                </c:pt>
                <c:pt idx="1">
                  <c:v>2          Б</c:v>
                </c:pt>
                <c:pt idx="2">
                  <c:v>3          Б</c:v>
                </c:pt>
                <c:pt idx="3">
                  <c:v>4          Б</c:v>
                </c:pt>
                <c:pt idx="4">
                  <c:v>5          Б</c:v>
                </c:pt>
                <c:pt idx="5">
                  <c:v>10         Б</c:v>
                </c:pt>
                <c:pt idx="6">
                  <c:v>11         Б</c:v>
                </c:pt>
                <c:pt idx="7">
                  <c:v>13         Б</c:v>
                </c:pt>
                <c:pt idx="8">
                  <c:v>17         Б</c:v>
                </c:pt>
                <c:pt idx="9">
                  <c:v>18        Б</c:v>
                </c:pt>
                <c:pt idx="10">
                  <c:v>19        Б</c:v>
                </c:pt>
                <c:pt idx="11">
                  <c:v>20        Б</c:v>
                </c:pt>
                <c:pt idx="12">
                  <c:v>21        Б</c:v>
                </c:pt>
                <c:pt idx="13">
                  <c:v>25        Б</c:v>
                </c:pt>
                <c:pt idx="14">
                  <c:v>26        Б</c:v>
                </c:pt>
                <c:pt idx="15">
                  <c:v>27        Б</c:v>
                </c:pt>
                <c:pt idx="16">
                  <c:v>28        Б</c:v>
                </c:pt>
              </c:strCache>
            </c:strRef>
          </c:cat>
          <c:val>
            <c:numRef>
              <c:f>База!$F$2:$F$18</c:f>
              <c:numCache>
                <c:formatCode>0.0</c:formatCode>
                <c:ptCount val="1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66.666666666666657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66.666666666666657</c:v>
                </c:pt>
                <c:pt idx="14">
                  <c:v>100</c:v>
                </c:pt>
                <c:pt idx="15">
                  <c:v>100</c:v>
                </c:pt>
                <c:pt idx="16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2C38-4255-8DF2-CA3BF98383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260352"/>
        <c:axId val="124262272"/>
      </c:lineChart>
      <c:catAx>
        <c:axId val="124260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262272"/>
        <c:crosses val="autoZero"/>
        <c:auto val="1"/>
        <c:lblAlgn val="ctr"/>
        <c:lblOffset val="100"/>
        <c:noMultiLvlLbl val="0"/>
      </c:catAx>
      <c:valAx>
        <c:axId val="124262272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260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269233667888894"/>
          <c:y val="0.78495461652199139"/>
          <c:w val="0.76795685183546814"/>
          <c:h val="0.1875100193314158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Процент выполнения заданий профильного уровня в Ненецком автономном округе в группах участников экзамена с разными уровнями подготовки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Профиль!$B$1</c:f>
              <c:strCache>
                <c:ptCount val="1"/>
                <c:pt idx="0">
                  <c:v>среднее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Профиль!$A$2:$A$12</c:f>
              <c:strCache>
                <c:ptCount val="11"/>
                <c:pt idx="0">
                  <c:v>6                     П</c:v>
                </c:pt>
                <c:pt idx="1">
                  <c:v>7                    П</c:v>
                </c:pt>
                <c:pt idx="2">
                  <c:v>8                  П</c:v>
                </c:pt>
                <c:pt idx="3">
                  <c:v>9                   П</c:v>
                </c:pt>
                <c:pt idx="4">
                  <c:v>12              П</c:v>
                </c:pt>
                <c:pt idx="5">
                  <c:v>14                П</c:v>
                </c:pt>
                <c:pt idx="6">
                  <c:v>15              П</c:v>
                </c:pt>
                <c:pt idx="7">
                  <c:v>16              П</c:v>
                </c:pt>
                <c:pt idx="8">
                  <c:v>22               П</c:v>
                </c:pt>
                <c:pt idx="9">
                  <c:v>23                П</c:v>
                </c:pt>
                <c:pt idx="10">
                  <c:v>24                 П</c:v>
                </c:pt>
              </c:strCache>
            </c:strRef>
          </c:cat>
          <c:val>
            <c:numRef>
              <c:f>Профиль!$B$2:$B$12</c:f>
              <c:numCache>
                <c:formatCode>0.0</c:formatCode>
                <c:ptCount val="11"/>
                <c:pt idx="0">
                  <c:v>70.689655172413794</c:v>
                </c:pt>
                <c:pt idx="1">
                  <c:v>27.586206896551722</c:v>
                </c:pt>
                <c:pt idx="2">
                  <c:v>43.103448275862064</c:v>
                </c:pt>
                <c:pt idx="3">
                  <c:v>68.965517241379317</c:v>
                </c:pt>
                <c:pt idx="4">
                  <c:v>44.827586206896555</c:v>
                </c:pt>
                <c:pt idx="5">
                  <c:v>48.275862068965516</c:v>
                </c:pt>
                <c:pt idx="6">
                  <c:v>51.724137931034484</c:v>
                </c:pt>
                <c:pt idx="7">
                  <c:v>41.379310344827587</c:v>
                </c:pt>
                <c:pt idx="8">
                  <c:v>51.724137931034484</c:v>
                </c:pt>
                <c:pt idx="9">
                  <c:v>75.862068965517238</c:v>
                </c:pt>
                <c:pt idx="10">
                  <c:v>27.586206896551722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790-48D0-9E4C-D7399B64EDE6}"/>
            </c:ext>
          </c:extLst>
        </c:ser>
        <c:ser>
          <c:idx val="1"/>
          <c:order val="1"/>
          <c:tx>
            <c:strRef>
              <c:f>Профиль!$C$1</c:f>
              <c:strCache>
                <c:ptCount val="1"/>
                <c:pt idx="0">
                  <c:v>ниже минимального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Профиль!$A$2:$A$12</c:f>
              <c:strCache>
                <c:ptCount val="11"/>
                <c:pt idx="0">
                  <c:v>6                     П</c:v>
                </c:pt>
                <c:pt idx="1">
                  <c:v>7                    П</c:v>
                </c:pt>
                <c:pt idx="2">
                  <c:v>8                  П</c:v>
                </c:pt>
                <c:pt idx="3">
                  <c:v>9                   П</c:v>
                </c:pt>
                <c:pt idx="4">
                  <c:v>12              П</c:v>
                </c:pt>
                <c:pt idx="5">
                  <c:v>14                П</c:v>
                </c:pt>
                <c:pt idx="6">
                  <c:v>15              П</c:v>
                </c:pt>
                <c:pt idx="7">
                  <c:v>16              П</c:v>
                </c:pt>
                <c:pt idx="8">
                  <c:v>22               П</c:v>
                </c:pt>
                <c:pt idx="9">
                  <c:v>23                П</c:v>
                </c:pt>
                <c:pt idx="10">
                  <c:v>24                 П</c:v>
                </c:pt>
              </c:strCache>
            </c:strRef>
          </c:cat>
          <c:val>
            <c:numRef>
              <c:f>Профиль!$C$2:$C$12</c:f>
              <c:numCache>
                <c:formatCode>0.0</c:formatCode>
                <c:ptCount val="11"/>
                <c:pt idx="0">
                  <c:v>50</c:v>
                </c:pt>
                <c:pt idx="1">
                  <c:v>10</c:v>
                </c:pt>
                <c:pt idx="2">
                  <c:v>0</c:v>
                </c:pt>
                <c:pt idx="3">
                  <c:v>60</c:v>
                </c:pt>
                <c:pt idx="4">
                  <c:v>20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50</c:v>
                </c:pt>
                <c:pt idx="1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790-48D0-9E4C-D7399B64EDE6}"/>
            </c:ext>
          </c:extLst>
        </c:ser>
        <c:ser>
          <c:idx val="2"/>
          <c:order val="2"/>
          <c:tx>
            <c:strRef>
              <c:f>Профиль!$D$1</c:f>
              <c:strCache>
                <c:ptCount val="1"/>
                <c:pt idx="0">
                  <c:v>от минимального до 60 баллов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Профиль!$A$2:$A$12</c:f>
              <c:strCache>
                <c:ptCount val="11"/>
                <c:pt idx="0">
                  <c:v>6                     П</c:v>
                </c:pt>
                <c:pt idx="1">
                  <c:v>7                    П</c:v>
                </c:pt>
                <c:pt idx="2">
                  <c:v>8                  П</c:v>
                </c:pt>
                <c:pt idx="3">
                  <c:v>9                   П</c:v>
                </c:pt>
                <c:pt idx="4">
                  <c:v>12              П</c:v>
                </c:pt>
                <c:pt idx="5">
                  <c:v>14                П</c:v>
                </c:pt>
                <c:pt idx="6">
                  <c:v>15              П</c:v>
                </c:pt>
                <c:pt idx="7">
                  <c:v>16              П</c:v>
                </c:pt>
                <c:pt idx="8">
                  <c:v>22               П</c:v>
                </c:pt>
                <c:pt idx="9">
                  <c:v>23                П</c:v>
                </c:pt>
                <c:pt idx="10">
                  <c:v>24                 П</c:v>
                </c:pt>
              </c:strCache>
            </c:strRef>
          </c:cat>
          <c:val>
            <c:numRef>
              <c:f>Профиль!$D$2:$D$12</c:f>
              <c:numCache>
                <c:formatCode>0.0</c:formatCode>
                <c:ptCount val="11"/>
                <c:pt idx="0">
                  <c:v>65.384615384615387</c:v>
                </c:pt>
                <c:pt idx="1">
                  <c:v>7.6923076923076925</c:v>
                </c:pt>
                <c:pt idx="2">
                  <c:v>26.923076923076923</c:v>
                </c:pt>
                <c:pt idx="3">
                  <c:v>69.230769230769226</c:v>
                </c:pt>
                <c:pt idx="4">
                  <c:v>23.076923076923077</c:v>
                </c:pt>
                <c:pt idx="5">
                  <c:v>38.461538461538467</c:v>
                </c:pt>
                <c:pt idx="6">
                  <c:v>53.846153846153847</c:v>
                </c:pt>
                <c:pt idx="7">
                  <c:v>23.076923076923077</c:v>
                </c:pt>
                <c:pt idx="8">
                  <c:v>38.461538461538467</c:v>
                </c:pt>
                <c:pt idx="9">
                  <c:v>65.384615384615387</c:v>
                </c:pt>
                <c:pt idx="10">
                  <c:v>11.538461538461538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790-48D0-9E4C-D7399B64EDE6}"/>
            </c:ext>
          </c:extLst>
        </c:ser>
        <c:ser>
          <c:idx val="3"/>
          <c:order val="3"/>
          <c:tx>
            <c:strRef>
              <c:f>Профиль!$E$1</c:f>
              <c:strCache>
                <c:ptCount val="1"/>
                <c:pt idx="0">
                  <c:v>от 61 до 80 баллов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Профиль!$A$2:$A$12</c:f>
              <c:strCache>
                <c:ptCount val="11"/>
                <c:pt idx="0">
                  <c:v>6                     П</c:v>
                </c:pt>
                <c:pt idx="1">
                  <c:v>7                    П</c:v>
                </c:pt>
                <c:pt idx="2">
                  <c:v>8                  П</c:v>
                </c:pt>
                <c:pt idx="3">
                  <c:v>9                   П</c:v>
                </c:pt>
                <c:pt idx="4">
                  <c:v>12              П</c:v>
                </c:pt>
                <c:pt idx="5">
                  <c:v>14                П</c:v>
                </c:pt>
                <c:pt idx="6">
                  <c:v>15              П</c:v>
                </c:pt>
                <c:pt idx="7">
                  <c:v>16              П</c:v>
                </c:pt>
                <c:pt idx="8">
                  <c:v>22               П</c:v>
                </c:pt>
                <c:pt idx="9">
                  <c:v>23                П</c:v>
                </c:pt>
                <c:pt idx="10">
                  <c:v>24                 П</c:v>
                </c:pt>
              </c:strCache>
            </c:strRef>
          </c:cat>
          <c:val>
            <c:numRef>
              <c:f>Профиль!$E$2:$E$12</c:f>
              <c:numCache>
                <c:formatCode>0.0</c:formatCode>
                <c:ptCount val="11"/>
                <c:pt idx="0">
                  <c:v>81.25</c:v>
                </c:pt>
                <c:pt idx="1">
                  <c:v>62.5</c:v>
                </c:pt>
                <c:pt idx="2">
                  <c:v>75</c:v>
                </c:pt>
                <c:pt idx="3">
                  <c:v>37.5</c:v>
                </c:pt>
                <c:pt idx="4">
                  <c:v>37.5</c:v>
                </c:pt>
                <c:pt idx="5">
                  <c:v>75</c:v>
                </c:pt>
                <c:pt idx="6">
                  <c:v>62.5</c:v>
                </c:pt>
                <c:pt idx="7">
                  <c:v>37.5</c:v>
                </c:pt>
                <c:pt idx="8">
                  <c:v>87.5</c:v>
                </c:pt>
                <c:pt idx="9">
                  <c:v>100</c:v>
                </c:pt>
                <c:pt idx="10">
                  <c:v>50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790-48D0-9E4C-D7399B64EDE6}"/>
            </c:ext>
          </c:extLst>
        </c:ser>
        <c:ser>
          <c:idx val="4"/>
          <c:order val="4"/>
          <c:tx>
            <c:strRef>
              <c:f>Профиль!$F$1</c:f>
              <c:strCache>
                <c:ptCount val="1"/>
                <c:pt idx="0">
                  <c:v>от 81 до 100 баллов</c:v>
                </c:pt>
              </c:strCache>
            </c:strRef>
          </c:tx>
          <c:spPr>
            <a:ln w="2222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  <a:lumOff val="40000"/>
                </a:schemeClr>
              </a:solidFill>
              <a:ln w="317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cat>
            <c:strRef>
              <c:f>Профиль!$A$2:$A$12</c:f>
              <c:strCache>
                <c:ptCount val="11"/>
                <c:pt idx="0">
                  <c:v>6                     П</c:v>
                </c:pt>
                <c:pt idx="1">
                  <c:v>7                    П</c:v>
                </c:pt>
                <c:pt idx="2">
                  <c:v>8                  П</c:v>
                </c:pt>
                <c:pt idx="3">
                  <c:v>9                   П</c:v>
                </c:pt>
                <c:pt idx="4">
                  <c:v>12              П</c:v>
                </c:pt>
                <c:pt idx="5">
                  <c:v>14                П</c:v>
                </c:pt>
                <c:pt idx="6">
                  <c:v>15              П</c:v>
                </c:pt>
                <c:pt idx="7">
                  <c:v>16              П</c:v>
                </c:pt>
                <c:pt idx="8">
                  <c:v>22               П</c:v>
                </c:pt>
                <c:pt idx="9">
                  <c:v>23                П</c:v>
                </c:pt>
                <c:pt idx="10">
                  <c:v>24                 П</c:v>
                </c:pt>
              </c:strCache>
            </c:strRef>
          </c:cat>
          <c:val>
            <c:numRef>
              <c:f>Профиль!$F$2:$F$12</c:f>
              <c:numCache>
                <c:formatCode>0.0</c:formatCode>
                <c:ptCount val="11"/>
                <c:pt idx="0">
                  <c:v>100</c:v>
                </c:pt>
                <c:pt idx="1">
                  <c:v>50</c:v>
                </c:pt>
                <c:pt idx="2">
                  <c:v>100</c:v>
                </c:pt>
                <c:pt idx="3">
                  <c:v>66.666666666666657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83.333333333333343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790-48D0-9E4C-D7399B64ED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312576"/>
        <c:axId val="124662912"/>
      </c:lineChart>
      <c:catAx>
        <c:axId val="124312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662912"/>
        <c:crosses val="autoZero"/>
        <c:auto val="1"/>
        <c:lblAlgn val="ctr"/>
        <c:lblOffset val="100"/>
        <c:noMultiLvlLbl val="0"/>
      </c:catAx>
      <c:valAx>
        <c:axId val="124662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312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0989192897650385"/>
          <c:y val="0.83689843662589081"/>
          <c:w val="0.75463647979254389"/>
          <c:h val="0.1402444273732501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Процент выполнения задания высокого уровня сложности в Ненецком автономном округе </a:t>
            </a:r>
          </a:p>
          <a:p>
            <a:pPr>
              <a:defRPr sz="144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в группах участников экзамена с разными уровнями подготовки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Высокий!$B$1</c:f>
              <c:strCache>
                <c:ptCount val="1"/>
                <c:pt idx="0">
                  <c:v>среднее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Высокий!$A$2:$A$7</c:f>
              <c:strCache>
                <c:ptCount val="6"/>
                <c:pt idx="0">
                  <c:v>29    В</c:v>
                </c:pt>
                <c:pt idx="1">
                  <c:v>30    В</c:v>
                </c:pt>
                <c:pt idx="2">
                  <c:v>31    В</c:v>
                </c:pt>
                <c:pt idx="3">
                  <c:v>32    В</c:v>
                </c:pt>
                <c:pt idx="4">
                  <c:v>33    В</c:v>
                </c:pt>
                <c:pt idx="5">
                  <c:v>34    В</c:v>
                </c:pt>
              </c:strCache>
            </c:strRef>
          </c:cat>
          <c:val>
            <c:numRef>
              <c:f>Высокий!$B$2:$B$7</c:f>
              <c:numCache>
                <c:formatCode>0.0</c:formatCode>
                <c:ptCount val="6"/>
                <c:pt idx="0">
                  <c:v>36.206896551724135</c:v>
                </c:pt>
                <c:pt idx="1">
                  <c:v>43.103448275862064</c:v>
                </c:pt>
                <c:pt idx="2">
                  <c:v>36.206896551724135</c:v>
                </c:pt>
                <c:pt idx="3">
                  <c:v>33.103448275862071</c:v>
                </c:pt>
                <c:pt idx="4">
                  <c:v>34.482758620689658</c:v>
                </c:pt>
                <c:pt idx="5">
                  <c:v>5.1724137931034484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69A-4A52-ADA4-190535ED2AC6}"/>
            </c:ext>
          </c:extLst>
        </c:ser>
        <c:ser>
          <c:idx val="1"/>
          <c:order val="1"/>
          <c:tx>
            <c:strRef>
              <c:f>Высокий!$C$1</c:f>
              <c:strCache>
                <c:ptCount val="1"/>
                <c:pt idx="0">
                  <c:v>ниже минимального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Высокий!$A$2:$A$7</c:f>
              <c:strCache>
                <c:ptCount val="6"/>
                <c:pt idx="0">
                  <c:v>29    В</c:v>
                </c:pt>
                <c:pt idx="1">
                  <c:v>30    В</c:v>
                </c:pt>
                <c:pt idx="2">
                  <c:v>31    В</c:v>
                </c:pt>
                <c:pt idx="3">
                  <c:v>32    В</c:v>
                </c:pt>
                <c:pt idx="4">
                  <c:v>33    В</c:v>
                </c:pt>
                <c:pt idx="5">
                  <c:v>34    В</c:v>
                </c:pt>
              </c:strCache>
            </c:strRef>
          </c:cat>
          <c:val>
            <c:numRef>
              <c:f>Высокий!$C$2:$C$7</c:f>
              <c:numCache>
                <c:formatCode>0.0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69A-4A52-ADA4-190535ED2AC6}"/>
            </c:ext>
          </c:extLst>
        </c:ser>
        <c:ser>
          <c:idx val="2"/>
          <c:order val="2"/>
          <c:tx>
            <c:strRef>
              <c:f>Высокий!$D$1</c:f>
              <c:strCache>
                <c:ptCount val="1"/>
                <c:pt idx="0">
                  <c:v>от минимального до 60 баллов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Высокий!$A$2:$A$7</c:f>
              <c:strCache>
                <c:ptCount val="6"/>
                <c:pt idx="0">
                  <c:v>29    В</c:v>
                </c:pt>
                <c:pt idx="1">
                  <c:v>30    В</c:v>
                </c:pt>
                <c:pt idx="2">
                  <c:v>31    В</c:v>
                </c:pt>
                <c:pt idx="3">
                  <c:v>32    В</c:v>
                </c:pt>
                <c:pt idx="4">
                  <c:v>33    В</c:v>
                </c:pt>
                <c:pt idx="5">
                  <c:v>34    В</c:v>
                </c:pt>
              </c:strCache>
            </c:strRef>
          </c:cat>
          <c:val>
            <c:numRef>
              <c:f>Высокий!$D$2:$D$7</c:f>
              <c:numCache>
                <c:formatCode>0.0</c:formatCode>
                <c:ptCount val="6"/>
                <c:pt idx="0">
                  <c:v>15.384615384615385</c:v>
                </c:pt>
                <c:pt idx="1">
                  <c:v>30.76923076923077</c:v>
                </c:pt>
                <c:pt idx="2">
                  <c:v>17.307692307692307</c:v>
                </c:pt>
                <c:pt idx="3">
                  <c:v>15.384615384615385</c:v>
                </c:pt>
                <c:pt idx="4">
                  <c:v>25.641025641025639</c:v>
                </c:pt>
                <c:pt idx="5">
                  <c:v>1.9230769230769231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69A-4A52-ADA4-190535ED2AC6}"/>
            </c:ext>
          </c:extLst>
        </c:ser>
        <c:ser>
          <c:idx val="3"/>
          <c:order val="3"/>
          <c:tx>
            <c:strRef>
              <c:f>Высокий!$E$1</c:f>
              <c:strCache>
                <c:ptCount val="1"/>
                <c:pt idx="0">
                  <c:v>от 61 до 80 баллов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Высокий!$A$2:$A$7</c:f>
              <c:strCache>
                <c:ptCount val="6"/>
                <c:pt idx="0">
                  <c:v>29    В</c:v>
                </c:pt>
                <c:pt idx="1">
                  <c:v>30    В</c:v>
                </c:pt>
                <c:pt idx="2">
                  <c:v>31    В</c:v>
                </c:pt>
                <c:pt idx="3">
                  <c:v>32    В</c:v>
                </c:pt>
                <c:pt idx="4">
                  <c:v>33    В</c:v>
                </c:pt>
                <c:pt idx="5">
                  <c:v>34    В</c:v>
                </c:pt>
              </c:strCache>
            </c:strRef>
          </c:cat>
          <c:val>
            <c:numRef>
              <c:f>Высокий!$E$2:$E$7</c:f>
              <c:numCache>
                <c:formatCode>0.0</c:formatCode>
                <c:ptCount val="6"/>
                <c:pt idx="0">
                  <c:v>68.75</c:v>
                </c:pt>
                <c:pt idx="1">
                  <c:v>68.75</c:v>
                </c:pt>
                <c:pt idx="2">
                  <c:v>65.625</c:v>
                </c:pt>
                <c:pt idx="3">
                  <c:v>57.499999999999993</c:v>
                </c:pt>
                <c:pt idx="4">
                  <c:v>50</c:v>
                </c:pt>
                <c:pt idx="5">
                  <c:v>9.375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69A-4A52-ADA4-190535ED2AC6}"/>
            </c:ext>
          </c:extLst>
        </c:ser>
        <c:ser>
          <c:idx val="4"/>
          <c:order val="4"/>
          <c:tx>
            <c:strRef>
              <c:f>Высокий!$F$1</c:f>
              <c:strCache>
                <c:ptCount val="1"/>
                <c:pt idx="0">
                  <c:v>от 81 до 100 баллов</c:v>
                </c:pt>
              </c:strCache>
            </c:strRef>
          </c:tx>
          <c:spPr>
            <a:ln w="2222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  <a:lumOff val="40000"/>
                </a:schemeClr>
              </a:solidFill>
              <a:ln w="317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cat>
            <c:strRef>
              <c:f>Высокий!$A$2:$A$7</c:f>
              <c:strCache>
                <c:ptCount val="6"/>
                <c:pt idx="0">
                  <c:v>29    В</c:v>
                </c:pt>
                <c:pt idx="1">
                  <c:v>30    В</c:v>
                </c:pt>
                <c:pt idx="2">
                  <c:v>31    В</c:v>
                </c:pt>
                <c:pt idx="3">
                  <c:v>32    В</c:v>
                </c:pt>
                <c:pt idx="4">
                  <c:v>33    В</c:v>
                </c:pt>
                <c:pt idx="5">
                  <c:v>34    В</c:v>
                </c:pt>
              </c:strCache>
            </c:strRef>
          </c:cat>
          <c:val>
            <c:numRef>
              <c:f>Высокий!$F$2:$F$7</c:f>
              <c:numCache>
                <c:formatCode>0.0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88.888888888888886</c:v>
                </c:pt>
                <c:pt idx="5">
                  <c:v>16.666666666666664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269A-4A52-ADA4-190535ED2A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705024"/>
        <c:axId val="124711296"/>
      </c:lineChart>
      <c:catAx>
        <c:axId val="124705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711296"/>
        <c:crosses val="autoZero"/>
        <c:auto val="1"/>
        <c:lblAlgn val="ctr"/>
        <c:lblOffset val="100"/>
        <c:noMultiLvlLbl val="0"/>
      </c:catAx>
      <c:valAx>
        <c:axId val="124711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7050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082932079533224"/>
          <c:y val="0.81877598633504145"/>
          <c:w val="0.82498020481252798"/>
          <c:h val="0.1558271882681331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процент</a:t>
            </a:r>
            <a:r>
              <a:rPr lang="ru-RU" sz="1400" b="0" i="0" u="none" strike="noStrike" kern="1200" spc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выполнения заданий в Ненецком автономном округе</a:t>
            </a: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 i="0" u="none" strike="noStrike" kern="1200" spc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 разрезе 2023-2024 годов</a:t>
            </a:r>
            <a:endParaRPr lang="ru-RU"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1574836217496332"/>
          <c:y val="1.043859798302749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Лист1!$A$3:$A$36</c:f>
              <c:strCache>
                <c:ptCount val="34"/>
                <c:pt idx="0">
                  <c:v>1     Б</c:v>
                </c:pt>
                <c:pt idx="1">
                  <c:v>2     Б</c:v>
                </c:pt>
                <c:pt idx="2">
                  <c:v>3     Б</c:v>
                </c:pt>
                <c:pt idx="3">
                  <c:v>4     Б</c:v>
                </c:pt>
                <c:pt idx="4">
                  <c:v>5     Б</c:v>
                </c:pt>
                <c:pt idx="5">
                  <c:v>6     П</c:v>
                </c:pt>
                <c:pt idx="6">
                  <c:v>7     П</c:v>
                </c:pt>
                <c:pt idx="7">
                  <c:v>8     П</c:v>
                </c:pt>
                <c:pt idx="8">
                  <c:v>9     П</c:v>
                </c:pt>
                <c:pt idx="9">
                  <c:v>10    Б</c:v>
                </c:pt>
                <c:pt idx="10">
                  <c:v>11    Б</c:v>
                </c:pt>
                <c:pt idx="11">
                  <c:v>12    П</c:v>
                </c:pt>
                <c:pt idx="12">
                  <c:v>13    Б</c:v>
                </c:pt>
                <c:pt idx="13">
                  <c:v>14    П</c:v>
                </c:pt>
                <c:pt idx="14">
                  <c:v>15    П</c:v>
                </c:pt>
                <c:pt idx="15">
                  <c:v>16    П</c:v>
                </c:pt>
                <c:pt idx="16">
                  <c:v>17    Б</c:v>
                </c:pt>
                <c:pt idx="17">
                  <c:v>18    Б</c:v>
                </c:pt>
                <c:pt idx="18">
                  <c:v>19    Б</c:v>
                </c:pt>
                <c:pt idx="19">
                  <c:v>20    Б</c:v>
                </c:pt>
                <c:pt idx="20">
                  <c:v>21    Б</c:v>
                </c:pt>
                <c:pt idx="21">
                  <c:v>22    П</c:v>
                </c:pt>
                <c:pt idx="22">
                  <c:v>23    П</c:v>
                </c:pt>
                <c:pt idx="23">
                  <c:v>24    П</c:v>
                </c:pt>
                <c:pt idx="24">
                  <c:v>25    Б</c:v>
                </c:pt>
                <c:pt idx="25">
                  <c:v>26    Б</c:v>
                </c:pt>
                <c:pt idx="26">
                  <c:v>27    Б</c:v>
                </c:pt>
                <c:pt idx="27">
                  <c:v>28    Б</c:v>
                </c:pt>
                <c:pt idx="28">
                  <c:v>29    В</c:v>
                </c:pt>
                <c:pt idx="29">
                  <c:v>30    В</c:v>
                </c:pt>
                <c:pt idx="30">
                  <c:v>31    В</c:v>
                </c:pt>
                <c:pt idx="31">
                  <c:v>32    В</c:v>
                </c:pt>
                <c:pt idx="32">
                  <c:v>33    В</c:v>
                </c:pt>
                <c:pt idx="33">
                  <c:v>34    В</c:v>
                </c:pt>
              </c:strCache>
            </c:strRef>
          </c:cat>
          <c:val>
            <c:numRef>
              <c:f>Лист1!$B$3:$B$36</c:f>
              <c:numCache>
                <c:formatCode>0.0</c:formatCode>
                <c:ptCount val="34"/>
                <c:pt idx="0">
                  <c:v>64.705882352941174</c:v>
                </c:pt>
                <c:pt idx="1">
                  <c:v>88.235294117647058</c:v>
                </c:pt>
                <c:pt idx="2">
                  <c:v>47.058823529411761</c:v>
                </c:pt>
                <c:pt idx="3">
                  <c:v>35.294117647058826</c:v>
                </c:pt>
                <c:pt idx="4">
                  <c:v>58.82352941176471</c:v>
                </c:pt>
                <c:pt idx="5">
                  <c:v>61.764705882352942</c:v>
                </c:pt>
                <c:pt idx="6">
                  <c:v>58.82352941176471</c:v>
                </c:pt>
                <c:pt idx="7">
                  <c:v>41.17647058823529</c:v>
                </c:pt>
                <c:pt idx="8">
                  <c:v>58.82352941176471</c:v>
                </c:pt>
                <c:pt idx="9">
                  <c:v>58.82352941176471</c:v>
                </c:pt>
                <c:pt idx="10">
                  <c:v>47.058823529411761</c:v>
                </c:pt>
                <c:pt idx="11">
                  <c:v>23.52941176470588</c:v>
                </c:pt>
                <c:pt idx="12">
                  <c:v>58.82352941176471</c:v>
                </c:pt>
                <c:pt idx="13">
                  <c:v>26.47058823529412</c:v>
                </c:pt>
                <c:pt idx="14">
                  <c:v>35.294117647058826</c:v>
                </c:pt>
                <c:pt idx="15">
                  <c:v>70.588235294117652</c:v>
                </c:pt>
                <c:pt idx="16">
                  <c:v>47.058823529411761</c:v>
                </c:pt>
                <c:pt idx="17">
                  <c:v>41.17647058823529</c:v>
                </c:pt>
                <c:pt idx="18">
                  <c:v>58.82352941176471</c:v>
                </c:pt>
                <c:pt idx="19">
                  <c:v>64.705882352941174</c:v>
                </c:pt>
                <c:pt idx="20">
                  <c:v>47.058823529411761</c:v>
                </c:pt>
                <c:pt idx="21">
                  <c:v>38.235294117647058</c:v>
                </c:pt>
                <c:pt idx="22">
                  <c:v>73.529411764705884</c:v>
                </c:pt>
                <c:pt idx="23">
                  <c:v>58.82352941176471</c:v>
                </c:pt>
                <c:pt idx="24">
                  <c:v>52.941176470588239</c:v>
                </c:pt>
                <c:pt idx="25">
                  <c:v>70.588235294117652</c:v>
                </c:pt>
                <c:pt idx="26">
                  <c:v>76.470588235294116</c:v>
                </c:pt>
                <c:pt idx="27">
                  <c:v>23.52941176470588</c:v>
                </c:pt>
                <c:pt idx="28">
                  <c:v>26.47058823529412</c:v>
                </c:pt>
                <c:pt idx="29">
                  <c:v>26.47058823529412</c:v>
                </c:pt>
                <c:pt idx="30">
                  <c:v>38.235294117647058</c:v>
                </c:pt>
                <c:pt idx="31">
                  <c:v>27.058823529411764</c:v>
                </c:pt>
                <c:pt idx="32">
                  <c:v>15.686274509803921</c:v>
                </c:pt>
                <c:pt idx="33">
                  <c:v>5.8823529411764701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88-4D08-A1AA-B21C89325999}"/>
            </c:ext>
          </c:extLst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Лист1!$A$3:$A$36</c:f>
              <c:strCache>
                <c:ptCount val="34"/>
                <c:pt idx="0">
                  <c:v>1     Б</c:v>
                </c:pt>
                <c:pt idx="1">
                  <c:v>2     Б</c:v>
                </c:pt>
                <c:pt idx="2">
                  <c:v>3     Б</c:v>
                </c:pt>
                <c:pt idx="3">
                  <c:v>4     Б</c:v>
                </c:pt>
                <c:pt idx="4">
                  <c:v>5     Б</c:v>
                </c:pt>
                <c:pt idx="5">
                  <c:v>6     П</c:v>
                </c:pt>
                <c:pt idx="6">
                  <c:v>7     П</c:v>
                </c:pt>
                <c:pt idx="7">
                  <c:v>8     П</c:v>
                </c:pt>
                <c:pt idx="8">
                  <c:v>9     П</c:v>
                </c:pt>
                <c:pt idx="9">
                  <c:v>10    Б</c:v>
                </c:pt>
                <c:pt idx="10">
                  <c:v>11    Б</c:v>
                </c:pt>
                <c:pt idx="11">
                  <c:v>12    П</c:v>
                </c:pt>
                <c:pt idx="12">
                  <c:v>13    Б</c:v>
                </c:pt>
                <c:pt idx="13">
                  <c:v>14    П</c:v>
                </c:pt>
                <c:pt idx="14">
                  <c:v>15    П</c:v>
                </c:pt>
                <c:pt idx="15">
                  <c:v>16    П</c:v>
                </c:pt>
                <c:pt idx="16">
                  <c:v>17    Б</c:v>
                </c:pt>
                <c:pt idx="17">
                  <c:v>18    Б</c:v>
                </c:pt>
                <c:pt idx="18">
                  <c:v>19    Б</c:v>
                </c:pt>
                <c:pt idx="19">
                  <c:v>20    Б</c:v>
                </c:pt>
                <c:pt idx="20">
                  <c:v>21    Б</c:v>
                </c:pt>
                <c:pt idx="21">
                  <c:v>22    П</c:v>
                </c:pt>
                <c:pt idx="22">
                  <c:v>23    П</c:v>
                </c:pt>
                <c:pt idx="23">
                  <c:v>24    П</c:v>
                </c:pt>
                <c:pt idx="24">
                  <c:v>25    Б</c:v>
                </c:pt>
                <c:pt idx="25">
                  <c:v>26    Б</c:v>
                </c:pt>
                <c:pt idx="26">
                  <c:v>27    Б</c:v>
                </c:pt>
                <c:pt idx="27">
                  <c:v>28    Б</c:v>
                </c:pt>
                <c:pt idx="28">
                  <c:v>29    В</c:v>
                </c:pt>
                <c:pt idx="29">
                  <c:v>30    В</c:v>
                </c:pt>
                <c:pt idx="30">
                  <c:v>31    В</c:v>
                </c:pt>
                <c:pt idx="31">
                  <c:v>32    В</c:v>
                </c:pt>
                <c:pt idx="32">
                  <c:v>33    В</c:v>
                </c:pt>
                <c:pt idx="33">
                  <c:v>34    В</c:v>
                </c:pt>
              </c:strCache>
            </c:strRef>
          </c:cat>
          <c:val>
            <c:numRef>
              <c:f>Лист1!$C$3:$C$36</c:f>
              <c:numCache>
                <c:formatCode>0.0</c:formatCode>
                <c:ptCount val="34"/>
                <c:pt idx="0">
                  <c:v>79.310344827586206</c:v>
                </c:pt>
                <c:pt idx="1">
                  <c:v>89.65517241379311</c:v>
                </c:pt>
                <c:pt idx="2">
                  <c:v>62.068965517241381</c:v>
                </c:pt>
                <c:pt idx="3">
                  <c:v>48.275862068965516</c:v>
                </c:pt>
                <c:pt idx="4">
                  <c:v>62.068965517241381</c:v>
                </c:pt>
                <c:pt idx="5">
                  <c:v>70.689655172413794</c:v>
                </c:pt>
                <c:pt idx="6">
                  <c:v>27.586206896551722</c:v>
                </c:pt>
                <c:pt idx="7">
                  <c:v>43.103448275862064</c:v>
                </c:pt>
                <c:pt idx="8">
                  <c:v>68.965517241379317</c:v>
                </c:pt>
                <c:pt idx="9">
                  <c:v>58.620689655172406</c:v>
                </c:pt>
                <c:pt idx="10">
                  <c:v>51.724137931034484</c:v>
                </c:pt>
                <c:pt idx="11">
                  <c:v>44.827586206896555</c:v>
                </c:pt>
                <c:pt idx="12">
                  <c:v>31.03448275862069</c:v>
                </c:pt>
                <c:pt idx="13">
                  <c:v>48.275862068965516</c:v>
                </c:pt>
                <c:pt idx="14">
                  <c:v>51.724137931034484</c:v>
                </c:pt>
                <c:pt idx="15">
                  <c:v>41.379310344827587</c:v>
                </c:pt>
                <c:pt idx="16">
                  <c:v>34.482758620689658</c:v>
                </c:pt>
                <c:pt idx="17">
                  <c:v>68.965517241379317</c:v>
                </c:pt>
                <c:pt idx="18">
                  <c:v>75.862068965517238</c:v>
                </c:pt>
                <c:pt idx="19">
                  <c:v>86.206896551724128</c:v>
                </c:pt>
                <c:pt idx="20">
                  <c:v>68.965517241379317</c:v>
                </c:pt>
                <c:pt idx="21">
                  <c:v>51.724137931034484</c:v>
                </c:pt>
                <c:pt idx="22">
                  <c:v>75.862068965517238</c:v>
                </c:pt>
                <c:pt idx="23">
                  <c:v>27.586206896551722</c:v>
                </c:pt>
                <c:pt idx="24">
                  <c:v>44.827586206896555</c:v>
                </c:pt>
                <c:pt idx="25">
                  <c:v>72.41379310344827</c:v>
                </c:pt>
                <c:pt idx="26">
                  <c:v>68.965517241379317</c:v>
                </c:pt>
                <c:pt idx="27">
                  <c:v>34.482758620689658</c:v>
                </c:pt>
                <c:pt idx="28">
                  <c:v>36.206896551724135</c:v>
                </c:pt>
                <c:pt idx="29">
                  <c:v>43.103448275862064</c:v>
                </c:pt>
                <c:pt idx="30">
                  <c:v>36.206896551724135</c:v>
                </c:pt>
                <c:pt idx="31">
                  <c:v>33.103448275862071</c:v>
                </c:pt>
                <c:pt idx="32">
                  <c:v>34.482758620689658</c:v>
                </c:pt>
                <c:pt idx="33">
                  <c:v>5.1724137931034484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488-4D08-A1AA-B21C893259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4741504"/>
        <c:axId val="124743040"/>
      </c:barChart>
      <c:catAx>
        <c:axId val="12474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743040"/>
        <c:crosses val="autoZero"/>
        <c:auto val="1"/>
        <c:lblAlgn val="ctr"/>
        <c:lblOffset val="100"/>
        <c:noMultiLvlLbl val="0"/>
      </c:catAx>
      <c:valAx>
        <c:axId val="124743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4741504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3184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2024-09-17T11:46:00Z</dcterms:created>
  <dcterms:modified xsi:type="dcterms:W3CDTF">2024-11-26T18:26:00Z</dcterms:modified>
</cp:coreProperties>
</file>